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FF6404" w14:textId="77777777" w:rsidR="00CB029C" w:rsidRDefault="00CB029C" w:rsidP="00D65846">
      <w:pPr>
        <w:jc w:val="center"/>
        <w:rPr>
          <w:b/>
        </w:rPr>
      </w:pPr>
    </w:p>
    <w:p w14:paraId="2AACE112" w14:textId="77777777" w:rsidR="00CB029C" w:rsidRDefault="00CB029C" w:rsidP="00D65846">
      <w:pPr>
        <w:jc w:val="center"/>
        <w:rPr>
          <w:b/>
        </w:rPr>
      </w:pPr>
    </w:p>
    <w:p w14:paraId="45432D6E" w14:textId="77777777" w:rsidR="00CB029C" w:rsidRDefault="00CB029C" w:rsidP="00D65846">
      <w:pPr>
        <w:jc w:val="center"/>
        <w:rPr>
          <w:b/>
        </w:rPr>
      </w:pPr>
    </w:p>
    <w:p w14:paraId="3D32B026" w14:textId="77777777" w:rsidR="00CB029C" w:rsidRDefault="00CB029C" w:rsidP="00D65846">
      <w:pPr>
        <w:jc w:val="center"/>
        <w:rPr>
          <w:b/>
        </w:rPr>
      </w:pPr>
    </w:p>
    <w:p w14:paraId="55744FDA" w14:textId="1927666B" w:rsidR="00072C22" w:rsidRPr="00072C22" w:rsidRDefault="00072C22" w:rsidP="00D65846">
      <w:pPr>
        <w:jc w:val="center"/>
        <w:rPr>
          <w:b/>
        </w:rPr>
      </w:pPr>
      <w:bookmarkStart w:id="0" w:name="_GoBack"/>
      <w:bookmarkEnd w:id="0"/>
      <w:r w:rsidRPr="00072C22">
        <w:rPr>
          <w:b/>
        </w:rPr>
        <w:t>Cathy Seeley</w:t>
      </w:r>
    </w:p>
    <w:p w14:paraId="264AA84D" w14:textId="2CC2FB0F" w:rsidR="00072C22" w:rsidRPr="00072C22" w:rsidRDefault="00072C22" w:rsidP="00072C22">
      <w:pPr>
        <w:spacing w:line="360" w:lineRule="auto"/>
        <w:jc w:val="center"/>
      </w:pPr>
      <w:r w:rsidRPr="00072C22">
        <w:rPr>
          <w:b/>
        </w:rPr>
        <w:br/>
      </w:r>
      <w:r w:rsidRPr="00072C22">
        <w:t>NCSM Session #158</w:t>
      </w:r>
    </w:p>
    <w:p w14:paraId="1790E58C" w14:textId="6FD62B61" w:rsidR="00072C22" w:rsidRPr="00072C22" w:rsidRDefault="00072C22" w:rsidP="00072C22">
      <w:pPr>
        <w:spacing w:line="360" w:lineRule="auto"/>
        <w:jc w:val="center"/>
      </w:pPr>
      <w:r w:rsidRPr="00072C22">
        <w:t>Monday, April 11, 2011</w:t>
      </w:r>
    </w:p>
    <w:p w14:paraId="4633EAB5" w14:textId="50BFF992" w:rsidR="00072C22" w:rsidRPr="00072C22" w:rsidRDefault="00072C22" w:rsidP="00072C22">
      <w:pPr>
        <w:spacing w:line="360" w:lineRule="auto"/>
        <w:jc w:val="center"/>
      </w:pPr>
      <w:r w:rsidRPr="00072C22">
        <w:t>1:30-2:30</w:t>
      </w:r>
    </w:p>
    <w:p w14:paraId="064B242C" w14:textId="77777777" w:rsidR="00072C22" w:rsidRPr="00072C22" w:rsidRDefault="00072C22" w:rsidP="00072C22">
      <w:pPr>
        <w:spacing w:line="360" w:lineRule="auto"/>
        <w:jc w:val="center"/>
      </w:pPr>
    </w:p>
    <w:p w14:paraId="6EEF4607" w14:textId="77777777" w:rsidR="00072C22" w:rsidRPr="00072C22" w:rsidRDefault="00072C22" w:rsidP="00072C22">
      <w:pPr>
        <w:spacing w:line="360" w:lineRule="auto"/>
        <w:jc w:val="center"/>
        <w:rPr>
          <w:b/>
        </w:rPr>
      </w:pPr>
      <w:r w:rsidRPr="00072C22">
        <w:rPr>
          <w:b/>
        </w:rPr>
        <w:t xml:space="preserve">High School Mathematics in a Common Core Era: </w:t>
      </w:r>
    </w:p>
    <w:p w14:paraId="0BB7703F" w14:textId="6C5E7652" w:rsidR="00072C22" w:rsidRPr="00072C22" w:rsidRDefault="00072C22" w:rsidP="00072C22">
      <w:pPr>
        <w:spacing w:line="360" w:lineRule="auto"/>
        <w:jc w:val="center"/>
        <w:rPr>
          <w:b/>
        </w:rPr>
      </w:pPr>
      <w:r w:rsidRPr="00072C22">
        <w:rPr>
          <w:b/>
        </w:rPr>
        <w:t>Revolution, Regression, or Life as Usual?</w:t>
      </w:r>
    </w:p>
    <w:p w14:paraId="7EEE2AAF" w14:textId="77777777" w:rsidR="00072C22" w:rsidRPr="00072C22" w:rsidRDefault="00072C22" w:rsidP="00072C22">
      <w:pPr>
        <w:spacing w:line="360" w:lineRule="auto"/>
        <w:jc w:val="center"/>
        <w:rPr>
          <w:b/>
        </w:rPr>
      </w:pPr>
    </w:p>
    <w:p w14:paraId="41CB2A71" w14:textId="77777777" w:rsidR="00072C22" w:rsidRPr="00072C22" w:rsidRDefault="00072C22" w:rsidP="00072C22">
      <w:pPr>
        <w:spacing w:line="360" w:lineRule="auto"/>
        <w:jc w:val="center"/>
      </w:pPr>
    </w:p>
    <w:p w14:paraId="4A1ECF1F" w14:textId="77777777" w:rsidR="00CB029C" w:rsidRDefault="00CB029C" w:rsidP="00072C22">
      <w:pPr>
        <w:jc w:val="center"/>
      </w:pPr>
    </w:p>
    <w:p w14:paraId="1AFCA2E5" w14:textId="77777777" w:rsidR="00CB029C" w:rsidRDefault="00CB029C" w:rsidP="00072C22">
      <w:pPr>
        <w:jc w:val="center"/>
      </w:pPr>
    </w:p>
    <w:p w14:paraId="6901DB5E" w14:textId="77777777" w:rsidR="00CB029C" w:rsidRDefault="00CB029C" w:rsidP="00072C22">
      <w:pPr>
        <w:jc w:val="center"/>
      </w:pPr>
    </w:p>
    <w:p w14:paraId="07499D7D" w14:textId="77777777" w:rsidR="00CB029C" w:rsidRDefault="00CB029C" w:rsidP="00072C22">
      <w:pPr>
        <w:jc w:val="center"/>
      </w:pPr>
    </w:p>
    <w:p w14:paraId="2E2B6CF3" w14:textId="77777777" w:rsidR="00CB029C" w:rsidRDefault="00CB029C" w:rsidP="00072C22">
      <w:pPr>
        <w:jc w:val="center"/>
      </w:pPr>
    </w:p>
    <w:p w14:paraId="11E8885E" w14:textId="237104A0" w:rsidR="00072C22" w:rsidRDefault="00072C22" w:rsidP="00072C22">
      <w:pPr>
        <w:jc w:val="center"/>
      </w:pPr>
      <w:r w:rsidRPr="00072C22">
        <w:t>Handouts:</w:t>
      </w:r>
    </w:p>
    <w:p w14:paraId="57CF24F5" w14:textId="77777777" w:rsidR="00072C22" w:rsidRPr="00072C22" w:rsidRDefault="00072C22" w:rsidP="00072C22">
      <w:pPr>
        <w:jc w:val="center"/>
      </w:pPr>
    </w:p>
    <w:p w14:paraId="1137DAFA" w14:textId="5F1E2155" w:rsidR="00072C22" w:rsidRDefault="00072C22" w:rsidP="00072C22">
      <w:pPr>
        <w:pStyle w:val="ListParagraph"/>
        <w:numPr>
          <w:ilvl w:val="0"/>
          <w:numId w:val="2"/>
        </w:numPr>
      </w:pPr>
      <w:r>
        <w:t>“</w:t>
      </w:r>
      <w:r w:rsidRPr="00072C22">
        <w:t>Pushing Algebra Down</w:t>
      </w:r>
      <w:r>
        <w:t>”</w:t>
      </w:r>
      <w:r w:rsidRPr="00072C22">
        <w:t xml:space="preserve"> (8th-grade algebra): NCTM President’s Message downloadable at:  </w:t>
      </w:r>
      <w:hyperlink r:id="rId8" w:history="1">
        <w:r w:rsidRPr="00072C22">
          <w:t>http://www.nctm.org/about/content.aspx?id=852</w:t>
        </w:r>
      </w:hyperlink>
      <w:r w:rsidRPr="00072C22">
        <w:t xml:space="preserve"> </w:t>
      </w:r>
      <w:r>
        <w:br/>
      </w:r>
      <w:r w:rsidRPr="00072C22">
        <w:t xml:space="preserve">(also updated as Message #25 in </w:t>
      </w:r>
      <w:r w:rsidRPr="00072C22">
        <w:rPr>
          <w:i/>
        </w:rPr>
        <w:t>Faster Isn’t Smarter--Messages About Math, Teaching, and Learning in the 21st Century</w:t>
      </w:r>
      <w:r>
        <w:t>, Cathy Seeley, Math Solutions</w:t>
      </w:r>
      <w:r w:rsidRPr="00072C22">
        <w:t>)</w:t>
      </w:r>
      <w:r>
        <w:br/>
      </w:r>
    </w:p>
    <w:p w14:paraId="623BF9FF" w14:textId="74547E3C" w:rsidR="00072C22" w:rsidRDefault="00072C22" w:rsidP="00072C22">
      <w:pPr>
        <w:pStyle w:val="ListParagraph"/>
        <w:numPr>
          <w:ilvl w:val="0"/>
          <w:numId w:val="2"/>
        </w:numPr>
      </w:pPr>
      <w:r>
        <w:t>“Constructive Struggling,” Message #17 in Faster Isn’t Smarter and attached here as a separate pdf file.</w:t>
      </w:r>
      <w:r>
        <w:br/>
      </w:r>
    </w:p>
    <w:p w14:paraId="64C12649" w14:textId="278DDDA5" w:rsidR="00072C22" w:rsidRDefault="00072C22" w:rsidP="00072C22">
      <w:pPr>
        <w:pStyle w:val="ListParagraph"/>
        <w:numPr>
          <w:ilvl w:val="0"/>
          <w:numId w:val="2"/>
        </w:numPr>
      </w:pPr>
      <w:r w:rsidRPr="00072C22">
        <w:t>Secondary Mathematics Curriculum Standards, People’s Republic of China</w:t>
      </w:r>
      <w:r>
        <w:t xml:space="preserve">, 2003, summarized from: </w:t>
      </w:r>
      <w:r w:rsidRPr="00072C22">
        <w:t>http://www.apecknowledgebank.org/file.aspx?id=1895</w:t>
      </w:r>
      <w:r>
        <w:t xml:space="preserve"> (attached)</w:t>
      </w:r>
      <w:r>
        <w:br/>
      </w:r>
    </w:p>
    <w:p w14:paraId="4608D7A4" w14:textId="032D1A3E" w:rsidR="00072C22" w:rsidRPr="00072C22" w:rsidRDefault="00072C22" w:rsidP="00072C22">
      <w:pPr>
        <w:pStyle w:val="ListParagraph"/>
        <w:numPr>
          <w:ilvl w:val="0"/>
          <w:numId w:val="2"/>
        </w:numPr>
      </w:pPr>
      <w:r w:rsidRPr="006615C4">
        <w:t xml:space="preserve">A sample of resources and options for </w:t>
      </w:r>
      <w:r>
        <w:t>alternative</w:t>
      </w:r>
      <w:r w:rsidRPr="006615C4">
        <w:t xml:space="preserve"> transition courses from </w:t>
      </w:r>
      <w:r>
        <w:br/>
      </w:r>
      <w:r w:rsidRPr="006615C4">
        <w:t>high school to college/university</w:t>
      </w:r>
      <w:r>
        <w:t>, p</w:t>
      </w:r>
      <w:r w:rsidRPr="00072C22">
        <w:t>repared by the MAA/NCTM Mutual Concerns Committee, January 2011</w:t>
      </w:r>
      <w:r>
        <w:t xml:space="preserve"> (attached)</w:t>
      </w:r>
      <w:r>
        <w:br/>
      </w:r>
    </w:p>
    <w:p w14:paraId="2989D3C4" w14:textId="0FD06E29" w:rsidR="00072C22" w:rsidRPr="00072C22" w:rsidRDefault="00CB029C" w:rsidP="00072C22">
      <w:pPr>
        <w:pStyle w:val="ListParagraph"/>
        <w:numPr>
          <w:ilvl w:val="0"/>
          <w:numId w:val="2"/>
        </w:numPr>
      </w:pPr>
      <w:r>
        <w:t>Advanced Mathematical Decision Making: Information available at utdanacenter.org/amdm; handout attached here as a separate pdf file.</w:t>
      </w:r>
    </w:p>
    <w:p w14:paraId="6A284778" w14:textId="77777777" w:rsidR="00072C22" w:rsidRPr="00072C22" w:rsidRDefault="00072C22" w:rsidP="00D65846">
      <w:pPr>
        <w:jc w:val="center"/>
        <w:rPr>
          <w:b/>
        </w:rPr>
      </w:pPr>
    </w:p>
    <w:p w14:paraId="5ACD6DBD" w14:textId="77777777" w:rsidR="00CB029C" w:rsidRDefault="00CB029C">
      <w:pPr>
        <w:rPr>
          <w:b/>
        </w:rPr>
      </w:pPr>
      <w:r>
        <w:rPr>
          <w:b/>
        </w:rPr>
        <w:br w:type="page"/>
      </w:r>
    </w:p>
    <w:p w14:paraId="43030BC2" w14:textId="5EE037E6" w:rsidR="004A25DF" w:rsidRPr="00072C22" w:rsidRDefault="004A25DF" w:rsidP="00D65846">
      <w:pPr>
        <w:jc w:val="center"/>
        <w:rPr>
          <w:b/>
        </w:rPr>
      </w:pPr>
      <w:r w:rsidRPr="00072C22">
        <w:rPr>
          <w:b/>
        </w:rPr>
        <w:lastRenderedPageBreak/>
        <w:t>Secondary Mathematics Curriculum Standards, People’s Republic of China</w:t>
      </w:r>
      <w:r w:rsidR="00703199" w:rsidRPr="00072C22">
        <w:rPr>
          <w:b/>
        </w:rPr>
        <w:t xml:space="preserve"> </w:t>
      </w:r>
    </w:p>
    <w:p w14:paraId="66E6F19C" w14:textId="77777777" w:rsidR="00D65846" w:rsidRPr="00072C22" w:rsidRDefault="00D65846" w:rsidP="004A25DF">
      <w:pPr>
        <w:widowControl w:val="0"/>
        <w:autoSpaceDE w:val="0"/>
        <w:autoSpaceDN w:val="0"/>
        <w:adjustRightInd w:val="0"/>
        <w:rPr>
          <w:rFonts w:ascii="TimesNewRomanPSMT" w:hAnsi="TimesNewRomanPSMT" w:cs="TimesNewRomanPSMT"/>
          <w:b/>
          <w:bCs/>
        </w:rPr>
      </w:pPr>
    </w:p>
    <w:p w14:paraId="44CFC93C" w14:textId="77777777" w:rsidR="004A25DF" w:rsidRPr="00072C22" w:rsidRDefault="004A25DF" w:rsidP="004A25DF">
      <w:pPr>
        <w:widowControl w:val="0"/>
        <w:autoSpaceDE w:val="0"/>
        <w:autoSpaceDN w:val="0"/>
        <w:adjustRightInd w:val="0"/>
        <w:rPr>
          <w:rFonts w:ascii="TimesNewRomanPSMT" w:hAnsi="TimesNewRomanPSMT" w:cs="TimesNewRomanPSMT"/>
          <w:b/>
          <w:bCs/>
        </w:rPr>
      </w:pPr>
      <w:r w:rsidRPr="00072C22">
        <w:rPr>
          <w:rFonts w:ascii="TimesNewRomanPSMT" w:hAnsi="TimesNewRomanPSMT" w:cs="TimesNewRomanPSMT"/>
          <w:b/>
          <w:bCs/>
        </w:rPr>
        <w:t>Compulsory Curriculum</w:t>
      </w:r>
    </w:p>
    <w:p w14:paraId="7267DB49" w14:textId="77777777" w:rsidR="004A25DF" w:rsidRPr="00072C22" w:rsidRDefault="004A25DF" w:rsidP="004A25DF">
      <w:pPr>
        <w:widowControl w:val="0"/>
        <w:autoSpaceDE w:val="0"/>
        <w:autoSpaceDN w:val="0"/>
        <w:adjustRightInd w:val="0"/>
        <w:rPr>
          <w:rFonts w:ascii="TimesNewRomanPSMT" w:hAnsi="TimesNewRomanPSMT" w:cs="TimesNewRomanPSMT"/>
        </w:rPr>
      </w:pPr>
      <w:r w:rsidRPr="00072C22">
        <w:rPr>
          <w:rFonts w:ascii="TimesNewRomanPSMT" w:hAnsi="TimesNewRomanPSMT" w:cs="TimesNewRomanPSMT"/>
        </w:rPr>
        <w:t>Every student is required to study the compulsory curriculum (</w:t>
      </w:r>
      <w:r w:rsidRPr="00072C22">
        <w:rPr>
          <w:rFonts w:ascii="TimesNewRomanPSMT" w:hAnsi="TimesNewRomanPSMT" w:cs="TimesNewRomanPSMT"/>
          <w:b/>
        </w:rPr>
        <w:t>5 modules</w:t>
      </w:r>
      <w:r w:rsidRPr="00072C22">
        <w:rPr>
          <w:rFonts w:ascii="TimesNewRomanPSMT" w:hAnsi="TimesNewRomanPSMT" w:cs="TimesNewRomanPSMT"/>
        </w:rPr>
        <w:t>):</w:t>
      </w:r>
    </w:p>
    <w:p w14:paraId="15546D38" w14:textId="77777777" w:rsidR="004A25DF" w:rsidRPr="00072C22" w:rsidRDefault="00D65846" w:rsidP="004A25DF">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b/>
        </w:rPr>
        <w:t>Mathematics</w:t>
      </w:r>
      <w:r w:rsidR="004A25DF" w:rsidRPr="00072C22">
        <w:rPr>
          <w:rFonts w:ascii="TimesNewRomanPSMT" w:hAnsi="TimesNewRomanPSMT" w:cs="TimesNewRomanPSMT"/>
          <w:b/>
        </w:rPr>
        <w:t xml:space="preserve"> 1</w:t>
      </w:r>
      <w:r w:rsidR="004A25DF" w:rsidRPr="00072C22">
        <w:rPr>
          <w:rFonts w:ascii="TimesNewRomanPSMT" w:hAnsi="TimesNewRomanPSMT" w:cs="TimesNewRomanPSMT"/>
        </w:rPr>
        <w:t>: Set, concept of function, basic elementary function I (exponential function, logarithmic function, power function).</w:t>
      </w:r>
    </w:p>
    <w:p w14:paraId="62EEADD2" w14:textId="77777777" w:rsidR="004A25DF" w:rsidRPr="00072C22" w:rsidRDefault="00D65846" w:rsidP="004A25DF">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b/>
        </w:rPr>
        <w:t xml:space="preserve">Mathematics </w:t>
      </w:r>
      <w:r w:rsidR="004A25DF" w:rsidRPr="00072C22">
        <w:rPr>
          <w:rFonts w:ascii="TimesNewRomanPSMT" w:hAnsi="TimesNewRomanPSMT" w:cs="TimesNewRomanPSMT"/>
          <w:b/>
        </w:rPr>
        <w:t>2</w:t>
      </w:r>
      <w:r w:rsidR="004A25DF" w:rsidRPr="00072C22">
        <w:rPr>
          <w:rFonts w:ascii="TimesNewRomanPSMT" w:hAnsi="TimesNewRomanPSMT" w:cs="TimesNewRomanPSMT"/>
        </w:rPr>
        <w:t>: Preliminary solid geometry, preliminary plane analytic geometry.</w:t>
      </w:r>
    </w:p>
    <w:p w14:paraId="798F3F21" w14:textId="77777777" w:rsidR="004A25DF" w:rsidRPr="00072C22" w:rsidRDefault="00D65846" w:rsidP="004A25DF">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b/>
        </w:rPr>
        <w:t xml:space="preserve">Mathematics </w:t>
      </w:r>
      <w:r w:rsidR="004A25DF" w:rsidRPr="00072C22">
        <w:rPr>
          <w:rFonts w:ascii="TimesNewRomanPSMT" w:hAnsi="TimesNewRomanPSMT" w:cs="TimesNewRomanPSMT"/>
          <w:b/>
        </w:rPr>
        <w:t>3</w:t>
      </w:r>
      <w:r w:rsidR="004A25DF" w:rsidRPr="00072C22">
        <w:rPr>
          <w:rFonts w:ascii="TimesNewRomanPSMT" w:hAnsi="TimesNewRomanPSMT" w:cs="TimesNewRomanPSMT"/>
        </w:rPr>
        <w:t>: Preliminary algorithms, statistics, probability.</w:t>
      </w:r>
    </w:p>
    <w:p w14:paraId="0775E022" w14:textId="77777777" w:rsidR="004A25DF" w:rsidRPr="00072C22" w:rsidRDefault="00D65846" w:rsidP="004A25DF">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b/>
        </w:rPr>
        <w:t xml:space="preserve">Mathematics </w:t>
      </w:r>
      <w:r w:rsidR="004A25DF" w:rsidRPr="00072C22">
        <w:rPr>
          <w:rFonts w:ascii="TimesNewRomanPSMT" w:hAnsi="TimesNewRomanPSMT" w:cs="TimesNewRomanPSMT"/>
          <w:b/>
        </w:rPr>
        <w:t>4</w:t>
      </w:r>
      <w:r w:rsidR="004A25DF" w:rsidRPr="00072C22">
        <w:rPr>
          <w:rFonts w:ascii="TimesNewRomanPSMT" w:hAnsi="TimesNewRomanPSMT" w:cs="TimesNewRomanPSMT"/>
        </w:rPr>
        <w:t>: Basic elementary function II (trigonometric function), vectors on a plane, trigonometric identity transformation.</w:t>
      </w:r>
    </w:p>
    <w:p w14:paraId="502437AA" w14:textId="77777777" w:rsidR="004A25DF" w:rsidRPr="00072C22" w:rsidRDefault="00D65846" w:rsidP="004A25DF">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b/>
        </w:rPr>
        <w:t>Mathematics 5</w:t>
      </w:r>
      <w:r w:rsidRPr="00072C22">
        <w:rPr>
          <w:rFonts w:ascii="TimesNewRomanPSMT" w:hAnsi="TimesNewRomanPSMT" w:cs="TimesNewRomanPSMT"/>
        </w:rPr>
        <w:t>:</w:t>
      </w:r>
      <w:r w:rsidR="004A25DF" w:rsidRPr="00072C22">
        <w:rPr>
          <w:rFonts w:ascii="TimesNewRomanPSMT" w:hAnsi="TimesNewRomanPSMT" w:cs="TimesNewRomanPSMT"/>
        </w:rPr>
        <w:t xml:space="preserve"> Solution of a triangle, sequence, inequality.</w:t>
      </w:r>
    </w:p>
    <w:p w14:paraId="18786142" w14:textId="77777777" w:rsidR="004A25DF" w:rsidRPr="00072C22" w:rsidRDefault="004A25DF" w:rsidP="004A25DF">
      <w:pPr>
        <w:widowControl w:val="0"/>
        <w:autoSpaceDE w:val="0"/>
        <w:autoSpaceDN w:val="0"/>
        <w:adjustRightInd w:val="0"/>
        <w:rPr>
          <w:rFonts w:ascii="TimesNewRomanPSMT" w:hAnsi="TimesNewRomanPSMT" w:cs="TimesNewRomanPSMT"/>
          <w:b/>
          <w:bCs/>
        </w:rPr>
      </w:pPr>
    </w:p>
    <w:p w14:paraId="5D37D50D" w14:textId="77777777" w:rsidR="004A25DF" w:rsidRPr="00072C22" w:rsidRDefault="004A25DF" w:rsidP="004A25DF">
      <w:pPr>
        <w:widowControl w:val="0"/>
        <w:autoSpaceDE w:val="0"/>
        <w:autoSpaceDN w:val="0"/>
        <w:adjustRightInd w:val="0"/>
        <w:rPr>
          <w:rFonts w:ascii="TimesNewRomanPSMT" w:hAnsi="TimesNewRomanPSMT" w:cs="TimesNewRomanPSMT"/>
          <w:b/>
          <w:bCs/>
        </w:rPr>
      </w:pPr>
      <w:r w:rsidRPr="00072C22">
        <w:rPr>
          <w:rFonts w:ascii="TimesNewRomanPSMT" w:hAnsi="TimesNewRomanPSMT" w:cs="TimesNewRomanPSMT"/>
          <w:b/>
          <w:bCs/>
        </w:rPr>
        <w:t>Optional Curriculum</w:t>
      </w:r>
    </w:p>
    <w:p w14:paraId="41F536C7" w14:textId="77777777" w:rsidR="004A25DF" w:rsidRPr="00072C22" w:rsidRDefault="00D65846" w:rsidP="004A25DF">
      <w:pPr>
        <w:widowControl w:val="0"/>
        <w:autoSpaceDE w:val="0"/>
        <w:autoSpaceDN w:val="0"/>
        <w:adjustRightInd w:val="0"/>
        <w:rPr>
          <w:rFonts w:ascii="TimesNewRomanPSMT" w:hAnsi="TimesNewRomanPSMT" w:cs="TimesNewRomanPSMT"/>
        </w:rPr>
      </w:pPr>
      <w:r w:rsidRPr="00072C22">
        <w:rPr>
          <w:rFonts w:ascii="TimesNewRomanPSMT" w:hAnsi="TimesNewRomanPSMT" w:cs="TimesNewRomanPSMT"/>
        </w:rPr>
        <w:t>S</w:t>
      </w:r>
      <w:r w:rsidR="004A25DF" w:rsidRPr="00072C22">
        <w:rPr>
          <w:rFonts w:ascii="TimesNewRomanPSMT" w:hAnsi="TimesNewRomanPSMT" w:cs="TimesNewRomanPSMT"/>
        </w:rPr>
        <w:t>tudents can select in accordance with their</w:t>
      </w:r>
      <w:r w:rsidRPr="00072C22">
        <w:rPr>
          <w:rFonts w:ascii="TimesNewRomanPSMT" w:hAnsi="TimesNewRomanPSMT" w:cs="TimesNewRomanPSMT"/>
        </w:rPr>
        <w:t xml:space="preserve"> </w:t>
      </w:r>
      <w:r w:rsidR="004A25DF" w:rsidRPr="00072C22">
        <w:rPr>
          <w:rFonts w:ascii="TimesNewRomanPSMT" w:hAnsi="TimesNewRomanPSMT" w:cs="TimesNewRomanPSMT"/>
        </w:rPr>
        <w:t xml:space="preserve">interests and aspirations for future development. </w:t>
      </w:r>
    </w:p>
    <w:p w14:paraId="77434F13"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b/>
        </w:rPr>
        <w:t>Series 1</w:t>
      </w:r>
      <w:r w:rsidR="00D65846" w:rsidRPr="00072C22">
        <w:rPr>
          <w:rFonts w:ascii="TimesNewRomanPSMT" w:hAnsi="TimesNewRomanPSMT" w:cs="TimesNewRomanPSMT"/>
        </w:rPr>
        <w:t xml:space="preserve"> (2 modules):</w:t>
      </w:r>
    </w:p>
    <w:p w14:paraId="6C3D837C"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1-1: Common logic terminology, conic section and equation,</w:t>
      </w:r>
      <w:r w:rsidR="00D65846" w:rsidRPr="00072C22">
        <w:rPr>
          <w:rFonts w:ascii="TimesNewRomanPSMT" w:hAnsi="TimesNewRomanPSMT" w:cs="TimesNewRomanPSMT"/>
        </w:rPr>
        <w:t xml:space="preserve"> </w:t>
      </w:r>
      <w:r w:rsidRPr="00072C22">
        <w:rPr>
          <w:rFonts w:ascii="TimesNewRomanPSMT" w:hAnsi="TimesNewRomanPSMT" w:cs="TimesNewRomanPSMT"/>
        </w:rPr>
        <w:t>derivative and its application.</w:t>
      </w:r>
    </w:p>
    <w:p w14:paraId="0EEA285B"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1-2: Case studies of statistics, inference and proof, extension of</w:t>
      </w:r>
      <w:r w:rsidR="00D65846" w:rsidRPr="00072C22">
        <w:rPr>
          <w:rFonts w:ascii="TimesNewRomanPSMT" w:hAnsi="TimesNewRomanPSMT" w:cs="TimesNewRomanPSMT"/>
        </w:rPr>
        <w:t xml:space="preserve"> </w:t>
      </w:r>
      <w:r w:rsidRPr="00072C22">
        <w:rPr>
          <w:rFonts w:ascii="TimesNewRomanPSMT" w:hAnsi="TimesNewRomanPSMT" w:cs="TimesNewRomanPSMT"/>
        </w:rPr>
        <w:t>number system and introduction of complex number, block diagram.</w:t>
      </w:r>
    </w:p>
    <w:p w14:paraId="481AEBB9" w14:textId="77777777" w:rsidR="00D65846" w:rsidRPr="00072C22" w:rsidRDefault="00D65846" w:rsidP="00D65846">
      <w:pPr>
        <w:widowControl w:val="0"/>
        <w:autoSpaceDE w:val="0"/>
        <w:autoSpaceDN w:val="0"/>
        <w:adjustRightInd w:val="0"/>
        <w:ind w:left="360" w:hanging="360"/>
        <w:rPr>
          <w:rFonts w:ascii="TimesNewRomanPSMT" w:hAnsi="TimesNewRomanPSMT" w:cs="TimesNewRomanPSMT"/>
          <w:b/>
        </w:rPr>
      </w:pPr>
    </w:p>
    <w:p w14:paraId="4BD1E8AE"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b/>
        </w:rPr>
        <w:t>Series 2</w:t>
      </w:r>
      <w:r w:rsidRPr="00072C22">
        <w:rPr>
          <w:rFonts w:ascii="TimesNewRomanPSMT" w:hAnsi="TimesNewRomanPSMT" w:cs="TimesNewRomanPSMT"/>
        </w:rPr>
        <w:t xml:space="preserve"> </w:t>
      </w:r>
      <w:r w:rsidR="00D65846" w:rsidRPr="00072C22">
        <w:rPr>
          <w:rFonts w:ascii="TimesNewRomanPSMT" w:hAnsi="TimesNewRomanPSMT" w:cs="TimesNewRomanPSMT"/>
        </w:rPr>
        <w:t>(3 modules):</w:t>
      </w:r>
    </w:p>
    <w:p w14:paraId="4ED83832"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2-1: Common logic terminology, conic section and equation,</w:t>
      </w:r>
      <w:r w:rsidR="00D65846" w:rsidRPr="00072C22">
        <w:rPr>
          <w:rFonts w:ascii="TimesNewRomanPSMT" w:hAnsi="TimesNewRomanPSMT" w:cs="TimesNewRomanPSMT"/>
        </w:rPr>
        <w:t xml:space="preserve"> </w:t>
      </w:r>
      <w:r w:rsidRPr="00072C22">
        <w:rPr>
          <w:rFonts w:ascii="TimesNewRomanPSMT" w:hAnsi="TimesNewRomanPSMT" w:cs="TimesNewRomanPSMT"/>
        </w:rPr>
        <w:t>vectors in space and solid geometry.</w:t>
      </w:r>
    </w:p>
    <w:p w14:paraId="57F0BFF6"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2-2: Derivative and its application, inference and proof,</w:t>
      </w:r>
      <w:r w:rsidR="00D65846" w:rsidRPr="00072C22">
        <w:rPr>
          <w:rFonts w:ascii="TimesNewRomanPSMT" w:hAnsi="TimesNewRomanPSMT" w:cs="TimesNewRomanPSMT"/>
        </w:rPr>
        <w:t xml:space="preserve"> </w:t>
      </w:r>
      <w:r w:rsidRPr="00072C22">
        <w:rPr>
          <w:rFonts w:ascii="TimesNewRomanPSMT" w:hAnsi="TimesNewRomanPSMT" w:cs="TimesNewRomanPSMT"/>
        </w:rPr>
        <w:t>extension of number system and introduction of complex number.</w:t>
      </w:r>
    </w:p>
    <w:p w14:paraId="4A012C7D"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2-3: Principle of enumeration, case studies of statistics,</w:t>
      </w:r>
      <w:r w:rsidR="00D65846" w:rsidRPr="00072C22">
        <w:rPr>
          <w:rFonts w:ascii="TimesNewRomanPSMT" w:hAnsi="TimesNewRomanPSMT" w:cs="TimesNewRomanPSMT"/>
        </w:rPr>
        <w:t xml:space="preserve"> </w:t>
      </w:r>
      <w:r w:rsidRPr="00072C22">
        <w:rPr>
          <w:rFonts w:ascii="TimesNewRomanPSMT" w:hAnsi="TimesNewRomanPSMT" w:cs="TimesNewRomanPSMT"/>
        </w:rPr>
        <w:t>probability.</w:t>
      </w:r>
    </w:p>
    <w:p w14:paraId="2A14955F" w14:textId="77777777" w:rsidR="00D65846" w:rsidRPr="00072C22" w:rsidRDefault="00D65846" w:rsidP="00D65846">
      <w:pPr>
        <w:widowControl w:val="0"/>
        <w:autoSpaceDE w:val="0"/>
        <w:autoSpaceDN w:val="0"/>
        <w:adjustRightInd w:val="0"/>
        <w:ind w:left="360" w:hanging="360"/>
        <w:rPr>
          <w:rFonts w:ascii="TimesNewRomanPSMT" w:hAnsi="TimesNewRomanPSMT" w:cs="TimesNewRomanPSMT"/>
          <w:b/>
        </w:rPr>
      </w:pPr>
    </w:p>
    <w:p w14:paraId="72B32ECE"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b/>
        </w:rPr>
        <w:t>Series 3</w:t>
      </w:r>
      <w:r w:rsidRPr="00072C22">
        <w:rPr>
          <w:rFonts w:ascii="TimesNewRomanPSMT" w:hAnsi="TimesNewRomanPSMT" w:cs="TimesNewRomanPSMT"/>
        </w:rPr>
        <w:t xml:space="preserve">: </w:t>
      </w:r>
      <w:r w:rsidR="00D65846" w:rsidRPr="00072C22">
        <w:rPr>
          <w:rFonts w:ascii="TimesNewRomanPSMT" w:hAnsi="TimesNewRomanPSMT" w:cs="TimesNewRomanPSMT"/>
        </w:rPr>
        <w:t>(6 special topics):</w:t>
      </w:r>
    </w:p>
    <w:p w14:paraId="5F17981C"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3-1: Selected topics of history of mathematics.</w:t>
      </w:r>
    </w:p>
    <w:p w14:paraId="27334D01"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3-2: Information security and cryptogram.</w:t>
      </w:r>
    </w:p>
    <w:p w14:paraId="761DE93D"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3-3: The geometry of the sphere.</w:t>
      </w:r>
    </w:p>
    <w:p w14:paraId="7489CD1B"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3-4: Symmetry and group.</w:t>
      </w:r>
    </w:p>
    <w:p w14:paraId="658E8010"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3-5: Euler’s formula and classification of closed surfaces.</w:t>
      </w:r>
    </w:p>
    <w:p w14:paraId="26D3DE60"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3-6: Trisection of an angle and extension of a number field.</w:t>
      </w:r>
    </w:p>
    <w:p w14:paraId="2906C651" w14:textId="77777777" w:rsidR="00D65846" w:rsidRPr="00072C22" w:rsidRDefault="00D65846" w:rsidP="00D65846">
      <w:pPr>
        <w:widowControl w:val="0"/>
        <w:autoSpaceDE w:val="0"/>
        <w:autoSpaceDN w:val="0"/>
        <w:adjustRightInd w:val="0"/>
        <w:ind w:left="360" w:hanging="360"/>
        <w:rPr>
          <w:rFonts w:ascii="TimesNewRomanPSMT" w:hAnsi="TimesNewRomanPSMT" w:cs="TimesNewRomanPSMT"/>
          <w:b/>
        </w:rPr>
      </w:pPr>
    </w:p>
    <w:p w14:paraId="03F2E92C"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b/>
        </w:rPr>
        <w:t>Series 4</w:t>
      </w:r>
      <w:r w:rsidRPr="00072C22">
        <w:rPr>
          <w:rFonts w:ascii="TimesNewRomanPSMT" w:hAnsi="TimesNewRomanPSMT" w:cs="TimesNewRomanPSMT"/>
        </w:rPr>
        <w:t xml:space="preserve">: </w:t>
      </w:r>
      <w:r w:rsidR="00D65846" w:rsidRPr="00072C22">
        <w:rPr>
          <w:rFonts w:ascii="TimesNewRomanPSMT" w:hAnsi="TimesNewRomanPSMT" w:cs="TimesNewRomanPSMT"/>
        </w:rPr>
        <w:t>(10 special topics):</w:t>
      </w:r>
    </w:p>
    <w:p w14:paraId="18E7E500"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4-1: Selected topics of geometrical proofs.</w:t>
      </w:r>
    </w:p>
    <w:p w14:paraId="1348E454"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4-2: Matrix and transformation.</w:t>
      </w:r>
    </w:p>
    <w:p w14:paraId="6E6C2E40"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4-3: Sequence and difference.</w:t>
      </w:r>
    </w:p>
    <w:p w14:paraId="47372EE2"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4-4: Coordinates system and parametric equations.</w:t>
      </w:r>
    </w:p>
    <w:p w14:paraId="2B0E61A7"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4-5: Selected topics of inequalities.</w:t>
      </w:r>
    </w:p>
    <w:p w14:paraId="61C51D6E"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4-6: Elementary number theory.</w:t>
      </w:r>
    </w:p>
    <w:p w14:paraId="6206F607"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4-7: Optimum seeking method and preliminary experimental</w:t>
      </w:r>
      <w:r w:rsidR="00D65846" w:rsidRPr="00072C22">
        <w:rPr>
          <w:rFonts w:ascii="TimesNewRomanPSMT" w:hAnsi="TimesNewRomanPSMT" w:cs="TimesNewRomanPSMT"/>
        </w:rPr>
        <w:t xml:space="preserve"> </w:t>
      </w:r>
      <w:r w:rsidRPr="00072C22">
        <w:rPr>
          <w:rFonts w:ascii="TimesNewRomanPSMT" w:hAnsi="TimesNewRomanPSMT" w:cs="TimesNewRomanPSMT"/>
        </w:rPr>
        <w:t>design.</w:t>
      </w:r>
    </w:p>
    <w:p w14:paraId="4019480E"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Optional Study 4-8: Overall planning (critical path method) and preliminary graph</w:t>
      </w:r>
      <w:r w:rsidR="00D65846" w:rsidRPr="00072C22">
        <w:rPr>
          <w:rFonts w:ascii="TimesNewRomanPSMT" w:hAnsi="TimesNewRomanPSMT" w:cs="TimesNewRomanPSMT"/>
        </w:rPr>
        <w:t xml:space="preserve"> </w:t>
      </w:r>
      <w:r w:rsidRPr="00072C22">
        <w:rPr>
          <w:rFonts w:ascii="TimesNewRomanPSMT" w:hAnsi="TimesNewRomanPSMT" w:cs="TimesNewRomanPSMT"/>
        </w:rPr>
        <w:t>theory.</w:t>
      </w:r>
    </w:p>
    <w:p w14:paraId="24EE0EF0" w14:textId="77777777" w:rsidR="004A25DF" w:rsidRPr="00072C22" w:rsidRDefault="004A25DF" w:rsidP="00D65846">
      <w:pPr>
        <w:widowControl w:val="0"/>
        <w:autoSpaceDE w:val="0"/>
        <w:autoSpaceDN w:val="0"/>
        <w:adjustRightInd w:val="0"/>
        <w:ind w:left="360" w:hanging="360"/>
        <w:rPr>
          <w:rFonts w:ascii="TimesNewRomanPSMT" w:hAnsi="TimesNewRomanPSMT" w:cs="TimesNewRomanPSMT"/>
        </w:rPr>
      </w:pPr>
      <w:r w:rsidRPr="00072C22">
        <w:rPr>
          <w:rFonts w:ascii="TimesNewRomanPSMT" w:hAnsi="TimesNewRomanPSMT" w:cs="TimesNewRomanPSMT"/>
        </w:rPr>
        <w:t>Option</w:t>
      </w:r>
      <w:r w:rsidR="00D65846" w:rsidRPr="00072C22">
        <w:rPr>
          <w:rFonts w:ascii="TimesNewRomanPSMT" w:hAnsi="TimesNewRomanPSMT" w:cs="TimesNewRomanPSMT"/>
        </w:rPr>
        <w:t>al Study 4-9: Risk and decision-</w:t>
      </w:r>
      <w:r w:rsidRPr="00072C22">
        <w:rPr>
          <w:rFonts w:ascii="TimesNewRomanPSMT" w:hAnsi="TimesNewRomanPSMT" w:cs="TimesNewRomanPSMT"/>
        </w:rPr>
        <w:t>making.</w:t>
      </w:r>
    </w:p>
    <w:p w14:paraId="5E9FA2D1" w14:textId="0CE6DD9C" w:rsidR="00CB029C" w:rsidRPr="00CB029C" w:rsidRDefault="004A25DF" w:rsidP="00CB029C">
      <w:pPr>
        <w:ind w:left="360" w:hanging="360"/>
        <w:rPr>
          <w:rFonts w:ascii="TimesNewRomanPSMT" w:hAnsi="TimesNewRomanPSMT" w:cs="TimesNewRomanPSMT"/>
        </w:rPr>
      </w:pPr>
      <w:r w:rsidRPr="00072C22">
        <w:rPr>
          <w:rFonts w:ascii="TimesNewRomanPSMT" w:hAnsi="TimesNewRomanPSMT" w:cs="TimesNewRomanPSMT"/>
        </w:rPr>
        <w:t>Optional Study 4-10: Switching circuits and Boolean algebra.</w:t>
      </w:r>
    </w:p>
    <w:p w14:paraId="41762191" w14:textId="15F7CDD2" w:rsidR="00072C22" w:rsidRDefault="00072C22" w:rsidP="00072C22">
      <w:pPr>
        <w:pStyle w:val="BodyText"/>
        <w:jc w:val="center"/>
      </w:pPr>
      <w:r w:rsidRPr="006615C4">
        <w:t xml:space="preserve">A sample of resources and options for </w:t>
      </w:r>
      <w:r>
        <w:t>alternative</w:t>
      </w:r>
      <w:r w:rsidRPr="006615C4">
        <w:t xml:space="preserve"> transition courses from </w:t>
      </w:r>
      <w:r>
        <w:br/>
      </w:r>
      <w:r w:rsidRPr="006615C4">
        <w:t>high school to college/university</w:t>
      </w:r>
    </w:p>
    <w:p w14:paraId="6BF27E8E" w14:textId="13154022" w:rsidR="00072C22" w:rsidRPr="005256E3" w:rsidRDefault="00072C22" w:rsidP="00072C22">
      <w:pPr>
        <w:pStyle w:val="BodyText"/>
        <w:jc w:val="center"/>
        <w:rPr>
          <w:b w:val="0"/>
          <w:sz w:val="24"/>
        </w:rPr>
      </w:pPr>
      <w:r w:rsidRPr="005256E3">
        <w:rPr>
          <w:b w:val="0"/>
          <w:sz w:val="24"/>
        </w:rPr>
        <w:t>Prepared by the MAA/NCTM Mutual Concerns Committee</w:t>
      </w:r>
      <w:r>
        <w:rPr>
          <w:b w:val="0"/>
          <w:sz w:val="24"/>
        </w:rPr>
        <w:t>, January 2011</w:t>
      </w:r>
      <w:r w:rsidR="00CB029C">
        <w:rPr>
          <w:b w:val="0"/>
          <w:sz w:val="24"/>
        </w:rPr>
        <w:t xml:space="preserve"> (2 pages)</w:t>
      </w:r>
    </w:p>
    <w:p w14:paraId="50EE0758" w14:textId="77777777" w:rsidR="00072C22" w:rsidRPr="006615C4" w:rsidRDefault="00072C22" w:rsidP="00072C22">
      <w:pPr>
        <w:rPr>
          <w:b/>
          <w:sz w:val="22"/>
        </w:rPr>
      </w:pPr>
    </w:p>
    <w:p w14:paraId="569C9B40" w14:textId="77777777" w:rsidR="00072C22" w:rsidRPr="006615C4" w:rsidRDefault="00072C22" w:rsidP="00072C22">
      <w:pPr>
        <w:rPr>
          <w:b/>
          <w:sz w:val="22"/>
        </w:rPr>
      </w:pPr>
      <w:r w:rsidRPr="006615C4">
        <w:rPr>
          <w:b/>
          <w:sz w:val="22"/>
        </w:rPr>
        <w:t>FOURTH-YEAR HIGH SCHOOL COURSES:</w:t>
      </w:r>
    </w:p>
    <w:p w14:paraId="50FCCFC0" w14:textId="77777777" w:rsidR="00072C22" w:rsidRPr="006615C4" w:rsidRDefault="00072C22" w:rsidP="00072C22">
      <w:pPr>
        <w:rPr>
          <w:sz w:val="22"/>
        </w:rPr>
      </w:pPr>
      <w:r w:rsidRPr="006615C4">
        <w:rPr>
          <w:b/>
          <w:sz w:val="22"/>
        </w:rPr>
        <w:t>Transition to College Mathematics and Statistics</w:t>
      </w:r>
      <w:r w:rsidRPr="006615C4">
        <w:rPr>
          <w:sz w:val="22"/>
        </w:rPr>
        <w:t xml:space="preserve"> (TCMS) is a three-year research and development project funded by the National Science Foundation to design, develop, field-test, refine, and bring to publication an alternative fourth-year mathematics course. The TCMS course is intended for the large number of students planning to major in college programs that do not require calculus. Information can found at: //www.wmich.edu/cpmp/tcms/introduction.html; project director: christian.hirsch@wmich.edu</w:t>
      </w:r>
    </w:p>
    <w:p w14:paraId="0DBAC900" w14:textId="77777777" w:rsidR="00072C22" w:rsidRPr="006615C4" w:rsidRDefault="00072C22" w:rsidP="00072C22">
      <w:pPr>
        <w:rPr>
          <w:sz w:val="22"/>
        </w:rPr>
      </w:pPr>
    </w:p>
    <w:p w14:paraId="51BDCD15" w14:textId="77777777" w:rsidR="00072C22" w:rsidRPr="006615C4" w:rsidRDefault="00072C22" w:rsidP="00072C22">
      <w:pPr>
        <w:rPr>
          <w:rFonts w:eastAsia="Times New Roman"/>
          <w:sz w:val="22"/>
        </w:rPr>
      </w:pPr>
      <w:r w:rsidRPr="006615C4">
        <w:rPr>
          <w:rStyle w:val="Emphasis"/>
          <w:rFonts w:eastAsia="Times New Roman"/>
          <w:bCs/>
          <w:sz w:val="22"/>
        </w:rPr>
        <w:t>M</w:t>
      </w:r>
      <w:r w:rsidRPr="006615C4">
        <w:rPr>
          <w:rStyle w:val="Emphasis"/>
          <w:rFonts w:eastAsia="Times New Roman"/>
          <w:sz w:val="22"/>
        </w:rPr>
        <w:t xml:space="preserve">athematics </w:t>
      </w:r>
      <w:r w:rsidRPr="006615C4">
        <w:rPr>
          <w:rStyle w:val="Strong"/>
          <w:rFonts w:eastAsia="Times New Roman"/>
          <w:i/>
          <w:iCs/>
          <w:sz w:val="22"/>
        </w:rPr>
        <w:t>IN</w:t>
      </w:r>
      <w:r w:rsidRPr="006615C4">
        <w:rPr>
          <w:rStyle w:val="Emphasis"/>
          <w:rFonts w:eastAsia="Times New Roman"/>
          <w:sz w:val="22"/>
        </w:rPr>
        <w:t xml:space="preserve">struction using </w:t>
      </w:r>
      <w:r w:rsidRPr="006615C4">
        <w:rPr>
          <w:rStyle w:val="Strong"/>
          <w:rFonts w:eastAsia="Times New Roman"/>
          <w:i/>
          <w:iCs/>
          <w:sz w:val="22"/>
        </w:rPr>
        <w:t>D</w:t>
      </w:r>
      <w:r w:rsidRPr="006615C4">
        <w:rPr>
          <w:rStyle w:val="Emphasis"/>
          <w:rFonts w:eastAsia="Times New Roman"/>
          <w:sz w:val="22"/>
        </w:rPr>
        <w:t xml:space="preserve">ecision </w:t>
      </w:r>
      <w:r w:rsidRPr="006615C4">
        <w:rPr>
          <w:rStyle w:val="Strong"/>
          <w:rFonts w:eastAsia="Times New Roman"/>
          <w:i/>
          <w:iCs/>
          <w:sz w:val="22"/>
        </w:rPr>
        <w:t>S</w:t>
      </w:r>
      <w:r w:rsidRPr="006615C4">
        <w:rPr>
          <w:rStyle w:val="Emphasis"/>
          <w:rFonts w:eastAsia="Times New Roman"/>
          <w:sz w:val="22"/>
        </w:rPr>
        <w:t xml:space="preserve">cience and </w:t>
      </w:r>
      <w:r w:rsidRPr="006615C4">
        <w:rPr>
          <w:rStyle w:val="Strong"/>
          <w:rFonts w:eastAsia="Times New Roman"/>
          <w:i/>
          <w:iCs/>
          <w:sz w:val="22"/>
        </w:rPr>
        <w:t>E</w:t>
      </w:r>
      <w:r w:rsidRPr="006615C4">
        <w:rPr>
          <w:rStyle w:val="Emphasis"/>
          <w:rFonts w:eastAsia="Times New Roman"/>
          <w:sz w:val="22"/>
        </w:rPr>
        <w:t xml:space="preserve">ngineering </w:t>
      </w:r>
      <w:r w:rsidRPr="006615C4">
        <w:rPr>
          <w:rStyle w:val="Strong"/>
          <w:rFonts w:eastAsia="Times New Roman"/>
          <w:i/>
          <w:iCs/>
          <w:sz w:val="22"/>
        </w:rPr>
        <w:t>T</w:t>
      </w:r>
      <w:r w:rsidRPr="006615C4">
        <w:rPr>
          <w:rStyle w:val="Emphasis"/>
          <w:rFonts w:eastAsia="Times New Roman"/>
          <w:sz w:val="22"/>
        </w:rPr>
        <w:t xml:space="preserve">ools </w:t>
      </w:r>
      <w:r w:rsidRPr="006615C4">
        <w:rPr>
          <w:rStyle w:val="Strong"/>
          <w:rFonts w:eastAsia="Times New Roman"/>
          <w:sz w:val="22"/>
        </w:rPr>
        <w:t>(MINDSET</w:t>
      </w:r>
      <w:r w:rsidRPr="006615C4">
        <w:rPr>
          <w:rFonts w:eastAsia="Times New Roman"/>
          <w:sz w:val="22"/>
        </w:rPr>
        <w:t>) uses decision making tools from Industrial and Systems Engineering and Operations Research in a fourth-year high school mathematics curriculum. Principal performance related goals of the project are to improve a student’s ability to formulate and solve multi-step problems and interpret results, and to improve students’ attitudes toward mathematics as they address problems in practical mathematics applications. Information from Karen Norwood or: www.mindsetproject.org/. Email: mindset@ncsu.edu</w:t>
      </w:r>
    </w:p>
    <w:p w14:paraId="79716E6D" w14:textId="77777777" w:rsidR="00072C22" w:rsidRPr="006615C4" w:rsidRDefault="00072C22" w:rsidP="00072C22">
      <w:pPr>
        <w:rPr>
          <w:sz w:val="22"/>
        </w:rPr>
      </w:pPr>
    </w:p>
    <w:p w14:paraId="0FA63699" w14:textId="77777777" w:rsidR="00072C22" w:rsidRPr="006615C4" w:rsidRDefault="00072C22" w:rsidP="00072C22">
      <w:pPr>
        <w:rPr>
          <w:sz w:val="22"/>
        </w:rPr>
      </w:pPr>
      <w:r w:rsidRPr="006615C4">
        <w:rPr>
          <w:b/>
          <w:sz w:val="22"/>
        </w:rPr>
        <w:t>Advanced Mathematical Decision Making</w:t>
      </w:r>
      <w:r w:rsidRPr="006615C4">
        <w:rPr>
          <w:sz w:val="22"/>
        </w:rPr>
        <w:t xml:space="preserve"> (aka Advanced Quantitative Reasoning)</w:t>
      </w:r>
    </w:p>
    <w:p w14:paraId="76894DBE" w14:textId="77777777" w:rsidR="00072C22" w:rsidRPr="006615C4" w:rsidRDefault="00072C22" w:rsidP="00072C22">
      <w:pPr>
        <w:rPr>
          <w:sz w:val="22"/>
        </w:rPr>
      </w:pPr>
      <w:r w:rsidRPr="006615C4">
        <w:rPr>
          <w:sz w:val="22"/>
        </w:rPr>
        <w:t xml:space="preserve">AMDM is a one-year applications and modeling-based capstone mathematics course designed to follow Algebra I/II and Geometry or Integrated Math 1/2/3. The first semester focuses on statistics, probability and numerical reasoning, and the second semester includes modeling (recursive and with functions), discrete math, and finance, with the expectation of developing cross-disciplinary college and career skills using a problem-based approach. Information at: utdanacenter.org/amdm; email: </w:t>
      </w:r>
      <w:r w:rsidRPr="005256E3">
        <w:rPr>
          <w:sz w:val="22"/>
        </w:rPr>
        <w:t>amdm@austin.utexas.edu</w:t>
      </w:r>
    </w:p>
    <w:p w14:paraId="0C785AC7" w14:textId="77777777" w:rsidR="00072C22" w:rsidRPr="006615C4" w:rsidRDefault="00072C22" w:rsidP="00072C22">
      <w:pPr>
        <w:rPr>
          <w:sz w:val="22"/>
        </w:rPr>
      </w:pPr>
    </w:p>
    <w:p w14:paraId="003F3560" w14:textId="77777777" w:rsidR="00072C22" w:rsidRPr="006615C4" w:rsidRDefault="00072C22" w:rsidP="00072C22">
      <w:pPr>
        <w:pStyle w:val="Heading1"/>
        <w:rPr>
          <w:sz w:val="22"/>
        </w:rPr>
      </w:pPr>
      <w:r w:rsidRPr="006615C4">
        <w:rPr>
          <w:sz w:val="22"/>
        </w:rPr>
        <w:t>Linear Algebra and Geometry: Advanced Mathematics for More Students</w:t>
      </w:r>
    </w:p>
    <w:p w14:paraId="13EF5661" w14:textId="77777777" w:rsidR="00072C22" w:rsidRPr="006615C4" w:rsidRDefault="00072C22" w:rsidP="00072C22">
      <w:pPr>
        <w:rPr>
          <w:rFonts w:eastAsia="Times New Roman"/>
          <w:color w:val="000000"/>
          <w:sz w:val="22"/>
          <w:szCs w:val="20"/>
          <w:lang w:eastAsia="en-US"/>
        </w:rPr>
      </w:pPr>
      <w:r w:rsidRPr="006615C4">
        <w:rPr>
          <w:rFonts w:eastAsia="Times New Roman"/>
          <w:color w:val="000000"/>
          <w:sz w:val="22"/>
          <w:szCs w:val="20"/>
          <w:lang w:eastAsia="en-US"/>
        </w:rPr>
        <w:t xml:space="preserve">EDC is developing, testing, and publishing </w:t>
      </w:r>
      <w:r w:rsidRPr="006615C4">
        <w:rPr>
          <w:rFonts w:eastAsia="Times New Roman"/>
          <w:i/>
          <w:color w:val="000000"/>
          <w:sz w:val="22"/>
          <w:szCs w:val="20"/>
          <w:lang w:eastAsia="en-US"/>
        </w:rPr>
        <w:t>Linear Algebra and Geometry</w:t>
      </w:r>
      <w:r w:rsidRPr="006615C4">
        <w:rPr>
          <w:rFonts w:eastAsia="Times New Roman"/>
          <w:color w:val="000000"/>
          <w:sz w:val="22"/>
          <w:szCs w:val="20"/>
          <w:lang w:eastAsia="en-US"/>
        </w:rPr>
        <w:t xml:space="preserve">, a modular curriculum for high school students that features three semesters’ worth of topics in linear algebra and its applications. The student resources contain three parts: (1) a core semester for all students that develops two- and three-dimensional geometry from a vectorial perspective and treats matrix algebra and its applications to geometry and other high school topics; (2) a second semester that completes the traditional  undergraduate linear algebra course, developing transformation matrices, vector spaces, bases, linear mappings, and eigentheory; and (3) several stand-alone modules that develop applications of this core to mathematics, engineering, science, and other STEM fields. The project is conducting research on student learning experiences related to critical aspects of linear algebra and the effect the materials have on teaching, learning, and the post-secondary performance of students who use them. Contact Al Cuoco </w:t>
      </w:r>
      <w:r w:rsidRPr="005256E3">
        <w:rPr>
          <w:rFonts w:eastAsia="Times New Roman"/>
          <w:sz w:val="22"/>
          <w:szCs w:val="20"/>
          <w:lang w:eastAsia="en-US"/>
        </w:rPr>
        <w:t>www.edc.org/cme/linearalg.html</w:t>
      </w:r>
    </w:p>
    <w:p w14:paraId="5FD18B0C" w14:textId="77777777" w:rsidR="00072C22" w:rsidRPr="006615C4" w:rsidRDefault="00072C22" w:rsidP="00072C22">
      <w:pPr>
        <w:rPr>
          <w:rFonts w:eastAsia="Times New Roman"/>
          <w:color w:val="000000"/>
          <w:sz w:val="22"/>
          <w:szCs w:val="20"/>
          <w:lang w:eastAsia="en-US"/>
        </w:rPr>
      </w:pPr>
    </w:p>
    <w:p w14:paraId="04D04255" w14:textId="77777777" w:rsidR="00072C22" w:rsidRPr="006615C4" w:rsidRDefault="00072C22" w:rsidP="00072C22">
      <w:pPr>
        <w:rPr>
          <w:sz w:val="22"/>
        </w:rPr>
      </w:pPr>
      <w:r w:rsidRPr="006615C4">
        <w:rPr>
          <w:rFonts w:eastAsia="Times New Roman"/>
          <w:color w:val="000000"/>
          <w:sz w:val="22"/>
          <w:szCs w:val="20"/>
          <w:lang w:eastAsia="en-US"/>
        </w:rPr>
        <w:t xml:space="preserve">Other materials that address transition courses: </w:t>
      </w:r>
      <w:r w:rsidRPr="006615C4">
        <w:rPr>
          <w:sz w:val="22"/>
        </w:rPr>
        <w:t xml:space="preserve">University of Chicago School Mathematics Project (UCSMP) </w:t>
      </w:r>
      <w:r w:rsidRPr="006615C4">
        <w:rPr>
          <w:i/>
          <w:sz w:val="22"/>
        </w:rPr>
        <w:t>Functions, Statistics, and Trigonometry</w:t>
      </w:r>
      <w:r w:rsidRPr="006615C4">
        <w:rPr>
          <w:sz w:val="22"/>
        </w:rPr>
        <w:t xml:space="preserve"> (Senk et al., 2010), designed to follow the UCSMP course sequence of Algebra, Geometry, and Advanced Algebra and to prepare students for a subsequent course in Precalculus and Discrete Mathematics.  </w:t>
      </w:r>
      <w:r w:rsidRPr="006615C4">
        <w:rPr>
          <w:sz w:val="22"/>
          <w:szCs w:val="32"/>
        </w:rPr>
        <w:t xml:space="preserve">Integrated Mathematics IV courses </w:t>
      </w:r>
      <w:r w:rsidRPr="006615C4">
        <w:rPr>
          <w:sz w:val="22"/>
        </w:rPr>
        <w:t xml:space="preserve"> such as COMAP, 2000; Fendel et al., 2000; Souhrada &amp; Fong, 2006; Advanced Functions and Modeling, North Carolina Department of Public Instruction, 2009.</w:t>
      </w:r>
    </w:p>
    <w:p w14:paraId="448D5CF1" w14:textId="77777777" w:rsidR="00072C22" w:rsidRPr="006615C4" w:rsidRDefault="00072C22" w:rsidP="00072C22">
      <w:pPr>
        <w:pStyle w:val="Header"/>
        <w:tabs>
          <w:tab w:val="clear" w:pos="4320"/>
          <w:tab w:val="clear" w:pos="8640"/>
        </w:tabs>
        <w:rPr>
          <w:sz w:val="22"/>
        </w:rPr>
      </w:pPr>
    </w:p>
    <w:p w14:paraId="7E336DE0" w14:textId="77777777" w:rsidR="00072C22" w:rsidRPr="006615C4" w:rsidRDefault="00072C22" w:rsidP="00072C22">
      <w:pPr>
        <w:rPr>
          <w:b/>
          <w:sz w:val="22"/>
        </w:rPr>
      </w:pPr>
      <w:r>
        <w:rPr>
          <w:b/>
          <w:sz w:val="22"/>
        </w:rPr>
        <w:br w:type="page"/>
      </w:r>
      <w:r w:rsidRPr="006615C4">
        <w:rPr>
          <w:b/>
          <w:sz w:val="22"/>
        </w:rPr>
        <w:t>FRESHMAN OPTIONS AT TWO- AND FOUR-YEAR INSTITUTIONS:</w:t>
      </w:r>
    </w:p>
    <w:p w14:paraId="160B32E6" w14:textId="77777777" w:rsidR="00072C22" w:rsidRPr="006615C4" w:rsidRDefault="00072C22" w:rsidP="00072C22">
      <w:pPr>
        <w:rPr>
          <w:sz w:val="22"/>
        </w:rPr>
      </w:pPr>
      <w:r w:rsidRPr="006615C4">
        <w:rPr>
          <w:b/>
          <w:sz w:val="22"/>
        </w:rPr>
        <w:t>Statway</w:t>
      </w:r>
      <w:r w:rsidRPr="006615C4">
        <w:rPr>
          <w:sz w:val="22"/>
        </w:rPr>
        <w:t xml:space="preserve"> is a one-year course that teaches statistics with requisite arithmetic and algebra integrated and taught in the context of statistics, with students who successfully complete the year-long course receiving credit for a college-level statistics course. Students interested in humanities or social sciences can move directly to mathematics that is relevant to their educational and career goals. Information at: www.carnegiefoundation.org/statway </w:t>
      </w:r>
    </w:p>
    <w:p w14:paraId="46AC533B" w14:textId="77777777" w:rsidR="00072C22" w:rsidRPr="006615C4" w:rsidRDefault="00072C22" w:rsidP="00072C22">
      <w:pPr>
        <w:rPr>
          <w:sz w:val="22"/>
        </w:rPr>
      </w:pPr>
    </w:p>
    <w:p w14:paraId="5C01E8AE" w14:textId="77777777" w:rsidR="00072C22" w:rsidRPr="006615C4" w:rsidRDefault="00072C22" w:rsidP="00072C22">
      <w:pPr>
        <w:rPr>
          <w:sz w:val="22"/>
        </w:rPr>
      </w:pPr>
      <w:r w:rsidRPr="006615C4">
        <w:rPr>
          <w:b/>
          <w:sz w:val="22"/>
        </w:rPr>
        <w:t>The Mathway</w:t>
      </w:r>
      <w:r w:rsidRPr="006615C4">
        <w:rPr>
          <w:sz w:val="22"/>
        </w:rPr>
        <w:t xml:space="preserve"> (starting development in 2011 from the producers of Statway) will also be a one-year freshman sequence that focuses on quantitative literacy. The first course in the sequence, Mathematical Literacy for College Students (MLCS), will develop students’ foundations of mathematical literacy and decision-making. After completing MLCS, students have the flexibility to take a credit-bearing, transferable mathematics course—quantitative reasoning or mathematics for liberal arts, statistics, or a college algebra that meets College Renewal Across the First Two Years [CRAFTY)—or they may choose to enter the STEM path. Information at: www.carnegiefoundation.org/pathways-connection</w:t>
      </w:r>
    </w:p>
    <w:p w14:paraId="50484AC7" w14:textId="77777777" w:rsidR="00072C22" w:rsidRPr="006615C4" w:rsidRDefault="00072C22" w:rsidP="00072C22">
      <w:pPr>
        <w:rPr>
          <w:sz w:val="22"/>
        </w:rPr>
      </w:pPr>
    </w:p>
    <w:p w14:paraId="633247A8" w14:textId="42D8D2A1" w:rsidR="00072C22" w:rsidRPr="00CB029C" w:rsidRDefault="00072C22" w:rsidP="00CB029C">
      <w:pPr>
        <w:widowControl w:val="0"/>
        <w:autoSpaceDE w:val="0"/>
        <w:autoSpaceDN w:val="0"/>
        <w:adjustRightInd w:val="0"/>
        <w:rPr>
          <w:rFonts w:eastAsia="Times New Roman" w:cs="CMR10"/>
          <w:sz w:val="22"/>
          <w:szCs w:val="20"/>
          <w:lang w:eastAsia="en-US"/>
        </w:rPr>
      </w:pPr>
      <w:r w:rsidRPr="006615C4">
        <w:rPr>
          <w:rFonts w:eastAsia="Times New Roman" w:cs="CMR10"/>
          <w:b/>
          <w:sz w:val="22"/>
          <w:szCs w:val="20"/>
          <w:lang w:eastAsia="en-US"/>
        </w:rPr>
        <w:t>Applied Calculus</w:t>
      </w:r>
      <w:r w:rsidRPr="006615C4">
        <w:rPr>
          <w:rFonts w:eastAsia="Times New Roman" w:cs="CMR10"/>
          <w:sz w:val="22"/>
          <w:szCs w:val="20"/>
          <w:lang w:eastAsia="en-US"/>
        </w:rPr>
        <w:t xml:space="preserve"> is part of a two-course sequence; the follow-up course is </w:t>
      </w:r>
      <w:r w:rsidRPr="006615C4">
        <w:rPr>
          <w:rFonts w:eastAsia="Times New Roman" w:cs="CMR10"/>
          <w:b/>
          <w:sz w:val="22"/>
          <w:szCs w:val="20"/>
          <w:lang w:eastAsia="en-US"/>
        </w:rPr>
        <w:t>Introduction to Statistical Modeling</w:t>
      </w:r>
      <w:r w:rsidRPr="006615C4">
        <w:rPr>
          <w:rFonts w:eastAsia="Times New Roman" w:cs="CMR10"/>
          <w:sz w:val="22"/>
          <w:szCs w:val="20"/>
          <w:lang w:eastAsia="en-US"/>
        </w:rPr>
        <w:t>. These two courses have been developed to treat mathematics and statistics</w:t>
      </w:r>
      <w:r w:rsidR="00CB029C">
        <w:rPr>
          <w:rFonts w:eastAsia="Times New Roman" w:cs="CMR10"/>
          <w:sz w:val="22"/>
          <w:szCs w:val="20"/>
          <w:lang w:eastAsia="en-US"/>
        </w:rPr>
        <w:t xml:space="preserve"> </w:t>
      </w:r>
      <w:r w:rsidRPr="00CB029C">
        <w:rPr>
          <w:sz w:val="22"/>
        </w:rPr>
        <w:t>as part of an interdisciplinary education closely linked to applications and the disciplines in which the mathematics will be used. Applied Calculus is an introductory calculus course. But</w:t>
      </w:r>
      <w:r w:rsidR="00CB029C">
        <w:rPr>
          <w:rFonts w:eastAsia="Times New Roman" w:cs="CMR10"/>
          <w:sz w:val="22"/>
          <w:szCs w:val="20"/>
          <w:lang w:eastAsia="en-US"/>
        </w:rPr>
        <w:t xml:space="preserve"> </w:t>
      </w:r>
      <w:r w:rsidRPr="00CB029C">
        <w:rPr>
          <w:sz w:val="22"/>
        </w:rPr>
        <w:t>whereas the traditional Calc I is about functions of a single variable, Applied Calculus covers functions of multiple variables and a related subject, linear algebra, that is useful in applications but not traditionally taken by nonmathematics majors. With skills in these areas, students are equipped to carry out work in the scientific disciplines that are interesting to them. The course’s emphasis on functions of multiple variables, and the orientation of the course to the mathematical topics that are needed in many scientific disciplines, means that Applied Calculus is generally the appropriate first calculus course both for those who have never studied calculus, and those who have already ha</w:t>
      </w:r>
      <w:r w:rsidR="00CB029C">
        <w:rPr>
          <w:sz w:val="22"/>
        </w:rPr>
        <w:t xml:space="preserve">d some calculus in high school. </w:t>
      </w:r>
      <w:r w:rsidRPr="00CB029C">
        <w:rPr>
          <w:sz w:val="22"/>
        </w:rPr>
        <w:t>www.macalester.edu/~kaplan/math135/policies.pdf</w:t>
      </w:r>
    </w:p>
    <w:p w14:paraId="1AF3E0B5" w14:textId="77777777" w:rsidR="00072C22" w:rsidRPr="006615C4" w:rsidRDefault="00072C22" w:rsidP="00072C22">
      <w:pPr>
        <w:widowControl w:val="0"/>
        <w:autoSpaceDE w:val="0"/>
        <w:autoSpaceDN w:val="0"/>
        <w:adjustRightInd w:val="0"/>
        <w:rPr>
          <w:rFonts w:eastAsia="Times New Roman" w:cs="CMR10"/>
          <w:sz w:val="22"/>
          <w:szCs w:val="20"/>
          <w:lang w:eastAsia="en-US"/>
        </w:rPr>
      </w:pPr>
    </w:p>
    <w:p w14:paraId="19005014" w14:textId="77777777" w:rsidR="00072C22" w:rsidRPr="006615C4" w:rsidRDefault="00072C22" w:rsidP="00072C22">
      <w:pPr>
        <w:pStyle w:val="Heading2"/>
      </w:pPr>
      <w:r w:rsidRPr="006615C4">
        <w:t>REFERENCES</w:t>
      </w:r>
    </w:p>
    <w:p w14:paraId="3C0CDE51" w14:textId="77777777" w:rsidR="00072C22" w:rsidRPr="006615C4" w:rsidRDefault="00072C22" w:rsidP="00072C22">
      <w:pPr>
        <w:widowControl w:val="0"/>
        <w:autoSpaceDE w:val="0"/>
        <w:autoSpaceDN w:val="0"/>
        <w:adjustRightInd w:val="0"/>
        <w:ind w:left="360" w:hanging="360"/>
        <w:rPr>
          <w:rFonts w:cs="Verdana"/>
          <w:bCs/>
          <w:iCs/>
          <w:sz w:val="22"/>
          <w:szCs w:val="34"/>
        </w:rPr>
      </w:pPr>
      <w:r w:rsidRPr="006615C4">
        <w:rPr>
          <w:rFonts w:eastAsia="Times New Roman"/>
          <w:sz w:val="22"/>
          <w:lang w:eastAsia="en-US"/>
        </w:rPr>
        <w:t xml:space="preserve">Bressoud, D. (2009). </w:t>
      </w:r>
      <w:r w:rsidRPr="006615C4">
        <w:rPr>
          <w:rFonts w:cs="Verdana"/>
          <w:bCs/>
          <w:iCs/>
          <w:sz w:val="22"/>
          <w:szCs w:val="34"/>
        </w:rPr>
        <w:t xml:space="preserve"> AP® Calculus: What We Know. www.macalester.edu/~bressoud/pub/launchings/launchings_06_09.html</w:t>
      </w:r>
    </w:p>
    <w:p w14:paraId="54B9951A" w14:textId="77777777" w:rsidR="00072C22" w:rsidRPr="006615C4" w:rsidRDefault="00072C22" w:rsidP="00072C22">
      <w:pPr>
        <w:widowControl w:val="0"/>
        <w:autoSpaceDE w:val="0"/>
        <w:autoSpaceDN w:val="0"/>
        <w:adjustRightInd w:val="0"/>
        <w:ind w:left="360" w:hanging="360"/>
        <w:rPr>
          <w:rFonts w:eastAsia="Times New Roman" w:cs="Arial"/>
          <w:i/>
          <w:sz w:val="22"/>
          <w:szCs w:val="17"/>
        </w:rPr>
      </w:pPr>
      <w:r w:rsidRPr="006615C4">
        <w:rPr>
          <w:rFonts w:eastAsia="Times New Roman" w:cs="Arial"/>
          <w:sz w:val="22"/>
          <w:szCs w:val="17"/>
        </w:rPr>
        <w:t xml:space="preserve">Bressoud, D. (Jan 17, 2010). </w:t>
      </w:r>
      <w:r w:rsidRPr="006615C4">
        <w:rPr>
          <w:rFonts w:eastAsia="Times New Roman" w:cs="Arial"/>
          <w:bCs/>
          <w:kern w:val="36"/>
          <w:sz w:val="22"/>
          <w:szCs w:val="32"/>
        </w:rPr>
        <w:t xml:space="preserve">The Rocky Transition From High-School Calculus. </w:t>
      </w:r>
      <w:r w:rsidRPr="006615C4">
        <w:rPr>
          <w:rFonts w:eastAsia="Times New Roman" w:cs="Arial"/>
          <w:i/>
          <w:sz w:val="22"/>
          <w:szCs w:val="17"/>
        </w:rPr>
        <w:t xml:space="preserve">The Chronicle of Higher Education. </w:t>
      </w:r>
      <w:r w:rsidRPr="006615C4">
        <w:rPr>
          <w:rFonts w:eastAsia="Times New Roman" w:cs="Arial"/>
          <w:sz w:val="22"/>
          <w:szCs w:val="17"/>
        </w:rPr>
        <w:t>LVI (19), p A80.</w:t>
      </w:r>
    </w:p>
    <w:p w14:paraId="6E99F1D1" w14:textId="77777777" w:rsidR="00072C22" w:rsidRPr="006615C4" w:rsidRDefault="00072C22" w:rsidP="00072C22">
      <w:pPr>
        <w:widowControl w:val="0"/>
        <w:autoSpaceDE w:val="0"/>
        <w:autoSpaceDN w:val="0"/>
        <w:adjustRightInd w:val="0"/>
        <w:ind w:left="360" w:hanging="360"/>
        <w:rPr>
          <w:sz w:val="22"/>
        </w:rPr>
      </w:pPr>
      <w:r w:rsidRPr="006615C4">
        <w:rPr>
          <w:sz w:val="22"/>
        </w:rPr>
        <w:t xml:space="preserve">Bressoud, D. (2004). The Changing Face of Calculus: First-Semester Calculus as a High School Course. </w:t>
      </w:r>
      <w:r w:rsidRPr="006615C4">
        <w:rPr>
          <w:i/>
          <w:sz w:val="22"/>
        </w:rPr>
        <w:t>FOCUS</w:t>
      </w:r>
      <w:r w:rsidRPr="006615C4">
        <w:rPr>
          <w:sz w:val="22"/>
        </w:rPr>
        <w:t xml:space="preserve"> (August/September). Mathematical Association of America.</w:t>
      </w:r>
    </w:p>
    <w:p w14:paraId="22DEC3EE" w14:textId="77777777" w:rsidR="00072C22" w:rsidRPr="006615C4" w:rsidRDefault="00072C22" w:rsidP="00072C22">
      <w:pPr>
        <w:ind w:left="360" w:hanging="360"/>
        <w:rPr>
          <w:sz w:val="22"/>
        </w:rPr>
      </w:pPr>
      <w:r w:rsidRPr="006615C4">
        <w:rPr>
          <w:sz w:val="22"/>
        </w:rPr>
        <w:t>COMAP: Consortium for Mathematics and Its Applications Project.  (2000</w:t>
      </w:r>
      <w:r w:rsidRPr="006615C4">
        <w:rPr>
          <w:i/>
          <w:sz w:val="22"/>
        </w:rPr>
        <w:t>).  Mathematics: Modeling our world—ARISE Course 4: Pre-calculus</w:t>
      </w:r>
      <w:r w:rsidRPr="006615C4">
        <w:rPr>
          <w:sz w:val="22"/>
        </w:rPr>
        <w:t>.  Garfunkel, S., Godbold, L., &amp; Pollak, H. (Co-PIs); Godbold, L. (Ed.); Crisler, N., Froelich, G., Giordano, F., &amp; Lege, J. (Authors).  New York: W. H. Freeman.</w:t>
      </w:r>
    </w:p>
    <w:p w14:paraId="570F559B" w14:textId="77777777" w:rsidR="00072C22" w:rsidRPr="006615C4" w:rsidRDefault="00072C22" w:rsidP="00072C22">
      <w:pPr>
        <w:pStyle w:val="BodyTextIndent3"/>
        <w:spacing w:after="0"/>
        <w:ind w:hanging="360"/>
        <w:rPr>
          <w:sz w:val="22"/>
        </w:rPr>
      </w:pPr>
      <w:r w:rsidRPr="006615C4">
        <w:rPr>
          <w:sz w:val="22"/>
        </w:rPr>
        <w:t xml:space="preserve">Fendel, D., Resek, D., Alper L., &amp; Fraser, S.  (2007).  </w:t>
      </w:r>
      <w:r w:rsidRPr="006615C4">
        <w:rPr>
          <w:i/>
          <w:sz w:val="22"/>
        </w:rPr>
        <w:t xml:space="preserve">Interactive mathematics program: Integrated high school mathematics, Year 4 </w:t>
      </w:r>
      <w:r w:rsidRPr="006615C4">
        <w:rPr>
          <w:sz w:val="22"/>
        </w:rPr>
        <w:t>(2nd ed.).  Emeryville, CA: Key Curriculum Press.</w:t>
      </w:r>
    </w:p>
    <w:p w14:paraId="0253F47A" w14:textId="77777777" w:rsidR="00072C22" w:rsidRPr="006615C4" w:rsidRDefault="00072C22" w:rsidP="00072C22">
      <w:pPr>
        <w:widowControl w:val="0"/>
        <w:autoSpaceDE w:val="0"/>
        <w:autoSpaceDN w:val="0"/>
        <w:adjustRightInd w:val="0"/>
        <w:ind w:left="360" w:hanging="360"/>
        <w:rPr>
          <w:rFonts w:eastAsia="Times New Roman"/>
          <w:sz w:val="22"/>
          <w:szCs w:val="20"/>
          <w:lang w:eastAsia="en-US"/>
        </w:rPr>
      </w:pPr>
      <w:r w:rsidRPr="006615C4">
        <w:rPr>
          <w:rFonts w:eastAsia="Times New Roman"/>
          <w:sz w:val="22"/>
          <w:szCs w:val="20"/>
          <w:lang w:eastAsia="en-US"/>
        </w:rPr>
        <w:t>Hull, Susan Hudson, and Cathy Seeley. (2010). "High School to Postsecondary Education: Challenges of Transition."</w:t>
      </w:r>
      <w:r w:rsidRPr="006615C4">
        <w:rPr>
          <w:rFonts w:eastAsia="Times New Roman"/>
          <w:i/>
          <w:sz w:val="22"/>
          <w:szCs w:val="20"/>
          <w:lang w:eastAsia="en-US"/>
        </w:rPr>
        <w:t xml:space="preserve"> Mathematics Teacher</w:t>
      </w:r>
      <w:r w:rsidRPr="006615C4">
        <w:rPr>
          <w:rFonts w:eastAsia="Times New Roman"/>
          <w:sz w:val="22"/>
          <w:szCs w:val="20"/>
          <w:lang w:eastAsia="en-US"/>
        </w:rPr>
        <w:t xml:space="preserve"> 103(6), 442-45.</w:t>
      </w:r>
    </w:p>
    <w:p w14:paraId="69D6A5A3" w14:textId="77777777" w:rsidR="00072C22" w:rsidRPr="006615C4" w:rsidRDefault="00072C22" w:rsidP="00072C22">
      <w:pPr>
        <w:ind w:left="360" w:hanging="360"/>
        <w:rPr>
          <w:rFonts w:eastAsia="Times New Roman"/>
          <w:sz w:val="22"/>
          <w:szCs w:val="20"/>
          <w:lang w:eastAsia="en-US"/>
        </w:rPr>
      </w:pPr>
      <w:r w:rsidRPr="006615C4">
        <w:rPr>
          <w:sz w:val="22"/>
        </w:rPr>
        <w:t xml:space="preserve">North Carolina Department of Public Instruction.  (2009, September 3).  </w:t>
      </w:r>
      <w:r w:rsidRPr="006615C4">
        <w:rPr>
          <w:i/>
          <w:iCs/>
          <w:sz w:val="22"/>
        </w:rPr>
        <w:t>North Carolina essential standards: Advanced Functions and Modeling</w:t>
      </w:r>
      <w:r w:rsidRPr="006615C4">
        <w:rPr>
          <w:sz w:val="22"/>
        </w:rPr>
        <w:t>.  Working draft.  Raleigh, NC: Author.  Retrieved from http://www.dpi.state.nc.us/docs/acre/standards/mathematics/advanced-functions-modeling.pdf</w:t>
      </w:r>
    </w:p>
    <w:p w14:paraId="6A9D5CB2" w14:textId="77777777" w:rsidR="00072C22" w:rsidRPr="006615C4" w:rsidRDefault="00072C22" w:rsidP="00072C22">
      <w:pPr>
        <w:ind w:left="360" w:hanging="360"/>
        <w:rPr>
          <w:sz w:val="22"/>
        </w:rPr>
      </w:pPr>
      <w:r w:rsidRPr="006615C4">
        <w:rPr>
          <w:sz w:val="22"/>
        </w:rPr>
        <w:t xml:space="preserve">Senk, S. L., et al.  (2010).  </w:t>
      </w:r>
      <w:r w:rsidRPr="006615C4">
        <w:rPr>
          <w:i/>
          <w:sz w:val="22"/>
        </w:rPr>
        <w:t>Functions, statistics, and trigonometry</w:t>
      </w:r>
      <w:r w:rsidRPr="006615C4">
        <w:rPr>
          <w:sz w:val="22"/>
        </w:rPr>
        <w:t xml:space="preserve"> (3rd ed.) [University of Chicago School Mathematics Project].  New York: </w:t>
      </w:r>
      <w:r w:rsidRPr="006615C4">
        <w:rPr>
          <w:rFonts w:cs="Courier"/>
          <w:sz w:val="22"/>
          <w:szCs w:val="26"/>
        </w:rPr>
        <w:t>Wright Group/McGraw-Hill</w:t>
      </w:r>
      <w:r w:rsidRPr="006615C4">
        <w:rPr>
          <w:sz w:val="22"/>
        </w:rPr>
        <w:t>.</w:t>
      </w:r>
    </w:p>
    <w:p w14:paraId="31F9FA86" w14:textId="77777777" w:rsidR="00072C22" w:rsidRPr="006615C4" w:rsidRDefault="00072C22" w:rsidP="00072C22">
      <w:pPr>
        <w:ind w:left="360" w:hanging="360"/>
        <w:rPr>
          <w:sz w:val="22"/>
        </w:rPr>
      </w:pPr>
      <w:r w:rsidRPr="006615C4">
        <w:rPr>
          <w:sz w:val="22"/>
        </w:rPr>
        <w:t xml:space="preserve">Souhrada, T. A., &amp; Fong, P. W. (Eds.).  (2006).  </w:t>
      </w:r>
      <w:r w:rsidRPr="006615C4">
        <w:rPr>
          <w:i/>
          <w:iCs/>
          <w:sz w:val="22"/>
        </w:rPr>
        <w:t>SIMMS integrated mathematics: A modeling approach using technology, Level 4</w:t>
      </w:r>
      <w:r w:rsidRPr="006615C4">
        <w:rPr>
          <w:sz w:val="22"/>
        </w:rPr>
        <w:t xml:space="preserve"> (3rd ed.).  Dubuque, IA: Kendall/Hunt.</w:t>
      </w:r>
    </w:p>
    <w:p w14:paraId="5E0CA2B2" w14:textId="77777777" w:rsidR="00072C22" w:rsidRPr="006615C4" w:rsidRDefault="00072C22" w:rsidP="00072C22">
      <w:pPr>
        <w:rPr>
          <w:rFonts w:eastAsia="Times New Roman"/>
          <w:color w:val="000000"/>
          <w:sz w:val="22"/>
          <w:szCs w:val="20"/>
          <w:lang w:eastAsia="en-US"/>
        </w:rPr>
      </w:pPr>
    </w:p>
    <w:p w14:paraId="2F504C66" w14:textId="77777777" w:rsidR="00072C22" w:rsidRPr="00072C22" w:rsidRDefault="00072C22" w:rsidP="00D65846">
      <w:pPr>
        <w:ind w:left="360" w:hanging="360"/>
      </w:pPr>
    </w:p>
    <w:sectPr w:rsidR="00072C22" w:rsidRPr="00072C22" w:rsidSect="00502C7A">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1D20D4" w14:textId="77777777" w:rsidR="00072C22" w:rsidRDefault="00072C22">
      <w:r>
        <w:separator/>
      </w:r>
    </w:p>
  </w:endnote>
  <w:endnote w:type="continuationSeparator" w:id="0">
    <w:p w14:paraId="4063DF9B" w14:textId="77777777" w:rsidR="00072C22" w:rsidRDefault="00072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Neue">
    <w:altName w:val="Helvetica Neue"/>
    <w:panose1 w:val="00000000000000000000"/>
    <w:charset w:val="00"/>
    <w:family w:val="auto"/>
    <w:notTrueType/>
    <w:pitch w:val="default"/>
    <w:sig w:usb0="00000003" w:usb1="00000000" w:usb2="00000000" w:usb3="00000000" w:csb0="00000001" w:csb1="00000000"/>
  </w:font>
  <w:font w:name="CMR10">
    <w:altName w:val="Times New Roman"/>
    <w:panose1 w:val="00000000000000000000"/>
    <w:charset w:val="4D"/>
    <w:family w:val="auto"/>
    <w:notTrueType/>
    <w:pitch w:val="default"/>
    <w:sig w:usb0="00000003" w:usb1="00000000" w:usb2="00000000" w:usb3="00000000" w:csb0="00000001" w:csb1="00000000"/>
  </w:font>
  <w:font w:name="TimesNewRomanPSMT">
    <w:altName w:val="Times New Roman"/>
    <w:panose1 w:val="00000000000000000000"/>
    <w:charset w:val="4D"/>
    <w:family w:val="roman"/>
    <w:notTrueType/>
    <w:pitch w:val="default"/>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Courier">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CEAF4" w14:textId="77777777" w:rsidR="00CB029C" w:rsidRDefault="00CB029C" w:rsidP="007B6B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84EBCC" w14:textId="77777777" w:rsidR="00CB029C" w:rsidRDefault="00CB029C" w:rsidP="00CB029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E5C86" w14:textId="77777777" w:rsidR="00CB029C" w:rsidRDefault="00CB029C" w:rsidP="007B6B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ABD5ACC" w14:textId="409D010A" w:rsidR="00072C22" w:rsidRPr="006D38A3" w:rsidRDefault="00CB029C" w:rsidP="00CB029C">
    <w:pPr>
      <w:pStyle w:val="Footer"/>
      <w:tabs>
        <w:tab w:val="clear" w:pos="4320"/>
        <w:tab w:val="clear" w:pos="8640"/>
        <w:tab w:val="left" w:pos="1427"/>
      </w:tabs>
      <w:ind w:right="360"/>
      <w:jc w:val="both"/>
    </w:pPr>
    <w:r>
      <w:t>Seeley NCSM Handouts</w:t>
    </w:r>
    <w:r>
      <w:tab/>
    </w:r>
    <w:r>
      <w:tab/>
    </w:r>
    <w:r>
      <w:tab/>
      <w:t>April 11, 2011</w:t>
    </w:r>
    <w:r>
      <w:tab/>
    </w:r>
    <w:r>
      <w:tab/>
    </w:r>
    <w:r>
      <w:tab/>
    </w:r>
    <w:r>
      <w:tab/>
    </w:r>
    <w:r>
      <w:tab/>
    </w:r>
    <w:r>
      <w:tab/>
    </w:r>
    <w:r>
      <w:tab/>
    </w:r>
    <w:r>
      <w:tab/>
    </w:r>
    <w:r>
      <w:tab/>
    </w:r>
    <w:r w:rsidR="00072C22">
      <w:tab/>
    </w:r>
    <w:r w:rsidR="00072C22">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97B73" w14:textId="77777777" w:rsidR="00072C22" w:rsidRDefault="00072C22">
      <w:r>
        <w:separator/>
      </w:r>
    </w:p>
  </w:footnote>
  <w:footnote w:type="continuationSeparator" w:id="0">
    <w:p w14:paraId="7B270A25" w14:textId="77777777" w:rsidR="00072C22" w:rsidRDefault="00072C2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75E7A"/>
    <w:multiLevelType w:val="hybridMultilevel"/>
    <w:tmpl w:val="80FE2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C9156E"/>
    <w:multiLevelType w:val="hybridMultilevel"/>
    <w:tmpl w:val="BE625D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5DF"/>
    <w:rsid w:val="00056EA0"/>
    <w:rsid w:val="00072C22"/>
    <w:rsid w:val="000F6A9D"/>
    <w:rsid w:val="001D1D28"/>
    <w:rsid w:val="002B4F2F"/>
    <w:rsid w:val="002B7488"/>
    <w:rsid w:val="002D76E8"/>
    <w:rsid w:val="00300740"/>
    <w:rsid w:val="004A25DF"/>
    <w:rsid w:val="00502C7A"/>
    <w:rsid w:val="0068373A"/>
    <w:rsid w:val="0068420A"/>
    <w:rsid w:val="006D38A3"/>
    <w:rsid w:val="006F52C0"/>
    <w:rsid w:val="00703199"/>
    <w:rsid w:val="007C5933"/>
    <w:rsid w:val="007C649A"/>
    <w:rsid w:val="00805B26"/>
    <w:rsid w:val="008921BB"/>
    <w:rsid w:val="009350B2"/>
    <w:rsid w:val="00997338"/>
    <w:rsid w:val="00A61AA8"/>
    <w:rsid w:val="00AD11C1"/>
    <w:rsid w:val="00B92FC0"/>
    <w:rsid w:val="00CB029C"/>
    <w:rsid w:val="00CF10FF"/>
    <w:rsid w:val="00D65846"/>
    <w:rsid w:val="00D65ADE"/>
    <w:rsid w:val="00DE0703"/>
    <w:rsid w:val="00E27361"/>
    <w:rsid w:val="00EB4E48"/>
    <w:rsid w:val="00EB5353"/>
    <w:rsid w:val="00FA324E"/>
    <w:rsid w:val="00FC5237"/>
    <w:rsid w:val="00FC52D8"/>
    <w:rsid w:val="00FF69C6"/>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0B64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9D"/>
    <w:rPr>
      <w:rFonts w:ascii="Times New Roman" w:hAnsi="Times New Roman"/>
      <w:sz w:val="24"/>
      <w:szCs w:val="24"/>
    </w:rPr>
  </w:style>
  <w:style w:type="paragraph" w:styleId="Heading1">
    <w:name w:val="heading 1"/>
    <w:basedOn w:val="Normal"/>
    <w:next w:val="Normal"/>
    <w:link w:val="Heading1Char"/>
    <w:uiPriority w:val="99"/>
    <w:qFormat/>
    <w:rsid w:val="00072C22"/>
    <w:pPr>
      <w:keepNext/>
      <w:widowControl w:val="0"/>
      <w:autoSpaceDE w:val="0"/>
      <w:autoSpaceDN w:val="0"/>
      <w:adjustRightInd w:val="0"/>
      <w:outlineLvl w:val="0"/>
    </w:pPr>
    <w:rPr>
      <w:rFonts w:eastAsia="ＭＳ 明朝" w:cs="HelveticaNeue"/>
      <w:b/>
      <w:szCs w:val="48"/>
      <w:lang w:eastAsia="en-US"/>
    </w:rPr>
  </w:style>
  <w:style w:type="paragraph" w:styleId="Heading2">
    <w:name w:val="heading 2"/>
    <w:basedOn w:val="Normal"/>
    <w:next w:val="Normal"/>
    <w:link w:val="Heading2Char"/>
    <w:uiPriority w:val="99"/>
    <w:qFormat/>
    <w:rsid w:val="00072C22"/>
    <w:pPr>
      <w:keepNext/>
      <w:widowControl w:val="0"/>
      <w:autoSpaceDE w:val="0"/>
      <w:autoSpaceDN w:val="0"/>
      <w:adjustRightInd w:val="0"/>
      <w:outlineLvl w:val="1"/>
    </w:pPr>
    <w:rPr>
      <w:rFonts w:eastAsia="ＭＳ 明朝" w:cs="CMR10"/>
      <w:b/>
      <w:sz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7488"/>
    <w:pPr>
      <w:tabs>
        <w:tab w:val="center" w:pos="4320"/>
        <w:tab w:val="right" w:pos="8640"/>
      </w:tabs>
    </w:pPr>
  </w:style>
  <w:style w:type="character" w:customStyle="1" w:styleId="HeaderChar">
    <w:name w:val="Header Char"/>
    <w:basedOn w:val="DefaultParagraphFont"/>
    <w:link w:val="Header"/>
    <w:uiPriority w:val="99"/>
    <w:rsid w:val="002B7488"/>
    <w:rPr>
      <w:sz w:val="24"/>
      <w:szCs w:val="24"/>
    </w:rPr>
  </w:style>
  <w:style w:type="paragraph" w:styleId="Footer">
    <w:name w:val="footer"/>
    <w:basedOn w:val="Normal"/>
    <w:link w:val="FooterChar"/>
    <w:uiPriority w:val="99"/>
    <w:unhideWhenUsed/>
    <w:rsid w:val="002B7488"/>
    <w:pPr>
      <w:tabs>
        <w:tab w:val="center" w:pos="4320"/>
        <w:tab w:val="right" w:pos="8640"/>
      </w:tabs>
    </w:pPr>
  </w:style>
  <w:style w:type="character" w:customStyle="1" w:styleId="FooterChar">
    <w:name w:val="Footer Char"/>
    <w:basedOn w:val="DefaultParagraphFont"/>
    <w:link w:val="Footer"/>
    <w:uiPriority w:val="99"/>
    <w:rsid w:val="002B7488"/>
    <w:rPr>
      <w:sz w:val="24"/>
      <w:szCs w:val="24"/>
    </w:rPr>
  </w:style>
  <w:style w:type="character" w:styleId="Hyperlink">
    <w:name w:val="Hyperlink"/>
    <w:basedOn w:val="DefaultParagraphFont"/>
    <w:uiPriority w:val="99"/>
    <w:unhideWhenUsed/>
    <w:rsid w:val="00703199"/>
    <w:rPr>
      <w:color w:val="0000FF" w:themeColor="hyperlink"/>
      <w:u w:val="single"/>
    </w:rPr>
  </w:style>
  <w:style w:type="paragraph" w:styleId="ListParagraph">
    <w:name w:val="List Paragraph"/>
    <w:basedOn w:val="Normal"/>
    <w:uiPriority w:val="34"/>
    <w:qFormat/>
    <w:rsid w:val="00072C22"/>
    <w:pPr>
      <w:ind w:left="720"/>
      <w:contextualSpacing/>
    </w:pPr>
  </w:style>
  <w:style w:type="paragraph" w:customStyle="1" w:styleId="clear">
    <w:name w:val="clear"/>
    <w:basedOn w:val="Normal"/>
    <w:rsid w:val="00072C22"/>
  </w:style>
  <w:style w:type="paragraph" w:styleId="BodyText">
    <w:name w:val="Body Text"/>
    <w:basedOn w:val="Normal"/>
    <w:link w:val="BodyTextChar"/>
    <w:uiPriority w:val="99"/>
    <w:rsid w:val="00072C22"/>
    <w:rPr>
      <w:rFonts w:eastAsia="ＭＳ 明朝" w:cs="Times New Roman"/>
      <w:b/>
      <w:sz w:val="28"/>
    </w:rPr>
  </w:style>
  <w:style w:type="character" w:customStyle="1" w:styleId="BodyTextChar">
    <w:name w:val="Body Text Char"/>
    <w:basedOn w:val="DefaultParagraphFont"/>
    <w:link w:val="BodyText"/>
    <w:uiPriority w:val="99"/>
    <w:rsid w:val="00072C22"/>
    <w:rPr>
      <w:rFonts w:ascii="Times New Roman" w:eastAsia="ＭＳ 明朝" w:hAnsi="Times New Roman" w:cs="Times New Roman"/>
      <w:b/>
      <w:sz w:val="28"/>
      <w:szCs w:val="24"/>
    </w:rPr>
  </w:style>
  <w:style w:type="paragraph" w:styleId="BodyText2">
    <w:name w:val="Body Text 2"/>
    <w:basedOn w:val="Normal"/>
    <w:link w:val="BodyText2Char"/>
    <w:uiPriority w:val="99"/>
    <w:semiHidden/>
    <w:unhideWhenUsed/>
    <w:rsid w:val="00072C22"/>
    <w:pPr>
      <w:spacing w:after="120" w:line="480" w:lineRule="auto"/>
    </w:pPr>
  </w:style>
  <w:style w:type="character" w:customStyle="1" w:styleId="BodyText2Char">
    <w:name w:val="Body Text 2 Char"/>
    <w:basedOn w:val="DefaultParagraphFont"/>
    <w:link w:val="BodyText2"/>
    <w:uiPriority w:val="99"/>
    <w:semiHidden/>
    <w:rsid w:val="00072C22"/>
    <w:rPr>
      <w:rFonts w:ascii="Times New Roman" w:hAnsi="Times New Roman"/>
      <w:sz w:val="24"/>
      <w:szCs w:val="24"/>
    </w:rPr>
  </w:style>
  <w:style w:type="character" w:customStyle="1" w:styleId="Heading1Char">
    <w:name w:val="Heading 1 Char"/>
    <w:basedOn w:val="DefaultParagraphFont"/>
    <w:link w:val="Heading1"/>
    <w:uiPriority w:val="99"/>
    <w:rsid w:val="00072C22"/>
    <w:rPr>
      <w:rFonts w:ascii="Times New Roman" w:eastAsia="ＭＳ 明朝" w:hAnsi="Times New Roman" w:cs="HelveticaNeue"/>
      <w:b/>
      <w:sz w:val="24"/>
      <w:szCs w:val="48"/>
      <w:lang w:eastAsia="en-US"/>
    </w:rPr>
  </w:style>
  <w:style w:type="character" w:customStyle="1" w:styleId="Heading2Char">
    <w:name w:val="Heading 2 Char"/>
    <w:basedOn w:val="DefaultParagraphFont"/>
    <w:link w:val="Heading2"/>
    <w:uiPriority w:val="99"/>
    <w:rsid w:val="00072C22"/>
    <w:rPr>
      <w:rFonts w:ascii="Times New Roman" w:eastAsia="ＭＳ 明朝" w:hAnsi="Times New Roman" w:cs="CMR10"/>
      <w:b/>
      <w:sz w:val="22"/>
      <w:lang w:eastAsia="en-US"/>
    </w:rPr>
  </w:style>
  <w:style w:type="character" w:styleId="Strong">
    <w:name w:val="Strong"/>
    <w:basedOn w:val="DefaultParagraphFont"/>
    <w:uiPriority w:val="99"/>
    <w:qFormat/>
    <w:rsid w:val="00072C22"/>
    <w:rPr>
      <w:rFonts w:cs="Times New Roman"/>
      <w:b/>
      <w:bCs/>
    </w:rPr>
  </w:style>
  <w:style w:type="character" w:styleId="Emphasis">
    <w:name w:val="Emphasis"/>
    <w:basedOn w:val="DefaultParagraphFont"/>
    <w:uiPriority w:val="99"/>
    <w:qFormat/>
    <w:rsid w:val="00072C22"/>
    <w:rPr>
      <w:rFonts w:cs="Times New Roman"/>
      <w:i/>
      <w:iCs/>
    </w:rPr>
  </w:style>
  <w:style w:type="paragraph" w:styleId="BodyTextIndent3">
    <w:name w:val="Body Text Indent 3"/>
    <w:basedOn w:val="Normal"/>
    <w:link w:val="BodyTextIndent3Char"/>
    <w:uiPriority w:val="99"/>
    <w:rsid w:val="00072C22"/>
    <w:pPr>
      <w:spacing w:after="120"/>
      <w:ind w:left="360"/>
    </w:pPr>
    <w:rPr>
      <w:rFonts w:eastAsia="ＭＳ 明朝" w:cs="Times New Roman"/>
      <w:sz w:val="16"/>
      <w:szCs w:val="16"/>
    </w:rPr>
  </w:style>
  <w:style w:type="character" w:customStyle="1" w:styleId="BodyTextIndent3Char">
    <w:name w:val="Body Text Indent 3 Char"/>
    <w:basedOn w:val="DefaultParagraphFont"/>
    <w:link w:val="BodyTextIndent3"/>
    <w:uiPriority w:val="99"/>
    <w:rsid w:val="00072C22"/>
    <w:rPr>
      <w:rFonts w:ascii="Times New Roman" w:eastAsia="ＭＳ 明朝" w:hAnsi="Times New Roman" w:cs="Times New Roman"/>
      <w:sz w:val="16"/>
      <w:szCs w:val="16"/>
    </w:rPr>
  </w:style>
  <w:style w:type="character" w:styleId="PageNumber">
    <w:name w:val="page number"/>
    <w:basedOn w:val="DefaultParagraphFont"/>
    <w:uiPriority w:val="99"/>
    <w:semiHidden/>
    <w:unhideWhenUsed/>
    <w:rsid w:val="00CB029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9D"/>
    <w:rPr>
      <w:rFonts w:ascii="Times New Roman" w:hAnsi="Times New Roman"/>
      <w:sz w:val="24"/>
      <w:szCs w:val="24"/>
    </w:rPr>
  </w:style>
  <w:style w:type="paragraph" w:styleId="Heading1">
    <w:name w:val="heading 1"/>
    <w:basedOn w:val="Normal"/>
    <w:next w:val="Normal"/>
    <w:link w:val="Heading1Char"/>
    <w:uiPriority w:val="99"/>
    <w:qFormat/>
    <w:rsid w:val="00072C22"/>
    <w:pPr>
      <w:keepNext/>
      <w:widowControl w:val="0"/>
      <w:autoSpaceDE w:val="0"/>
      <w:autoSpaceDN w:val="0"/>
      <w:adjustRightInd w:val="0"/>
      <w:outlineLvl w:val="0"/>
    </w:pPr>
    <w:rPr>
      <w:rFonts w:eastAsia="ＭＳ 明朝" w:cs="HelveticaNeue"/>
      <w:b/>
      <w:szCs w:val="48"/>
      <w:lang w:eastAsia="en-US"/>
    </w:rPr>
  </w:style>
  <w:style w:type="paragraph" w:styleId="Heading2">
    <w:name w:val="heading 2"/>
    <w:basedOn w:val="Normal"/>
    <w:next w:val="Normal"/>
    <w:link w:val="Heading2Char"/>
    <w:uiPriority w:val="99"/>
    <w:qFormat/>
    <w:rsid w:val="00072C22"/>
    <w:pPr>
      <w:keepNext/>
      <w:widowControl w:val="0"/>
      <w:autoSpaceDE w:val="0"/>
      <w:autoSpaceDN w:val="0"/>
      <w:adjustRightInd w:val="0"/>
      <w:outlineLvl w:val="1"/>
    </w:pPr>
    <w:rPr>
      <w:rFonts w:eastAsia="ＭＳ 明朝" w:cs="CMR10"/>
      <w:b/>
      <w:sz w:val="22"/>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7488"/>
    <w:pPr>
      <w:tabs>
        <w:tab w:val="center" w:pos="4320"/>
        <w:tab w:val="right" w:pos="8640"/>
      </w:tabs>
    </w:pPr>
  </w:style>
  <w:style w:type="character" w:customStyle="1" w:styleId="HeaderChar">
    <w:name w:val="Header Char"/>
    <w:basedOn w:val="DefaultParagraphFont"/>
    <w:link w:val="Header"/>
    <w:uiPriority w:val="99"/>
    <w:rsid w:val="002B7488"/>
    <w:rPr>
      <w:sz w:val="24"/>
      <w:szCs w:val="24"/>
    </w:rPr>
  </w:style>
  <w:style w:type="paragraph" w:styleId="Footer">
    <w:name w:val="footer"/>
    <w:basedOn w:val="Normal"/>
    <w:link w:val="FooterChar"/>
    <w:uiPriority w:val="99"/>
    <w:unhideWhenUsed/>
    <w:rsid w:val="002B7488"/>
    <w:pPr>
      <w:tabs>
        <w:tab w:val="center" w:pos="4320"/>
        <w:tab w:val="right" w:pos="8640"/>
      </w:tabs>
    </w:pPr>
  </w:style>
  <w:style w:type="character" w:customStyle="1" w:styleId="FooterChar">
    <w:name w:val="Footer Char"/>
    <w:basedOn w:val="DefaultParagraphFont"/>
    <w:link w:val="Footer"/>
    <w:uiPriority w:val="99"/>
    <w:rsid w:val="002B7488"/>
    <w:rPr>
      <w:sz w:val="24"/>
      <w:szCs w:val="24"/>
    </w:rPr>
  </w:style>
  <w:style w:type="character" w:styleId="Hyperlink">
    <w:name w:val="Hyperlink"/>
    <w:basedOn w:val="DefaultParagraphFont"/>
    <w:uiPriority w:val="99"/>
    <w:unhideWhenUsed/>
    <w:rsid w:val="00703199"/>
    <w:rPr>
      <w:color w:val="0000FF" w:themeColor="hyperlink"/>
      <w:u w:val="single"/>
    </w:rPr>
  </w:style>
  <w:style w:type="paragraph" w:styleId="ListParagraph">
    <w:name w:val="List Paragraph"/>
    <w:basedOn w:val="Normal"/>
    <w:uiPriority w:val="34"/>
    <w:qFormat/>
    <w:rsid w:val="00072C22"/>
    <w:pPr>
      <w:ind w:left="720"/>
      <w:contextualSpacing/>
    </w:pPr>
  </w:style>
  <w:style w:type="paragraph" w:customStyle="1" w:styleId="clear">
    <w:name w:val="clear"/>
    <w:basedOn w:val="Normal"/>
    <w:rsid w:val="00072C22"/>
  </w:style>
  <w:style w:type="paragraph" w:styleId="BodyText">
    <w:name w:val="Body Text"/>
    <w:basedOn w:val="Normal"/>
    <w:link w:val="BodyTextChar"/>
    <w:uiPriority w:val="99"/>
    <w:rsid w:val="00072C22"/>
    <w:rPr>
      <w:rFonts w:eastAsia="ＭＳ 明朝" w:cs="Times New Roman"/>
      <w:b/>
      <w:sz w:val="28"/>
    </w:rPr>
  </w:style>
  <w:style w:type="character" w:customStyle="1" w:styleId="BodyTextChar">
    <w:name w:val="Body Text Char"/>
    <w:basedOn w:val="DefaultParagraphFont"/>
    <w:link w:val="BodyText"/>
    <w:uiPriority w:val="99"/>
    <w:rsid w:val="00072C22"/>
    <w:rPr>
      <w:rFonts w:ascii="Times New Roman" w:eastAsia="ＭＳ 明朝" w:hAnsi="Times New Roman" w:cs="Times New Roman"/>
      <w:b/>
      <w:sz w:val="28"/>
      <w:szCs w:val="24"/>
    </w:rPr>
  </w:style>
  <w:style w:type="paragraph" w:styleId="BodyText2">
    <w:name w:val="Body Text 2"/>
    <w:basedOn w:val="Normal"/>
    <w:link w:val="BodyText2Char"/>
    <w:uiPriority w:val="99"/>
    <w:semiHidden/>
    <w:unhideWhenUsed/>
    <w:rsid w:val="00072C22"/>
    <w:pPr>
      <w:spacing w:after="120" w:line="480" w:lineRule="auto"/>
    </w:pPr>
  </w:style>
  <w:style w:type="character" w:customStyle="1" w:styleId="BodyText2Char">
    <w:name w:val="Body Text 2 Char"/>
    <w:basedOn w:val="DefaultParagraphFont"/>
    <w:link w:val="BodyText2"/>
    <w:uiPriority w:val="99"/>
    <w:semiHidden/>
    <w:rsid w:val="00072C22"/>
    <w:rPr>
      <w:rFonts w:ascii="Times New Roman" w:hAnsi="Times New Roman"/>
      <w:sz w:val="24"/>
      <w:szCs w:val="24"/>
    </w:rPr>
  </w:style>
  <w:style w:type="character" w:customStyle="1" w:styleId="Heading1Char">
    <w:name w:val="Heading 1 Char"/>
    <w:basedOn w:val="DefaultParagraphFont"/>
    <w:link w:val="Heading1"/>
    <w:uiPriority w:val="99"/>
    <w:rsid w:val="00072C22"/>
    <w:rPr>
      <w:rFonts w:ascii="Times New Roman" w:eastAsia="ＭＳ 明朝" w:hAnsi="Times New Roman" w:cs="HelveticaNeue"/>
      <w:b/>
      <w:sz w:val="24"/>
      <w:szCs w:val="48"/>
      <w:lang w:eastAsia="en-US"/>
    </w:rPr>
  </w:style>
  <w:style w:type="character" w:customStyle="1" w:styleId="Heading2Char">
    <w:name w:val="Heading 2 Char"/>
    <w:basedOn w:val="DefaultParagraphFont"/>
    <w:link w:val="Heading2"/>
    <w:uiPriority w:val="99"/>
    <w:rsid w:val="00072C22"/>
    <w:rPr>
      <w:rFonts w:ascii="Times New Roman" w:eastAsia="ＭＳ 明朝" w:hAnsi="Times New Roman" w:cs="CMR10"/>
      <w:b/>
      <w:sz w:val="22"/>
      <w:lang w:eastAsia="en-US"/>
    </w:rPr>
  </w:style>
  <w:style w:type="character" w:styleId="Strong">
    <w:name w:val="Strong"/>
    <w:basedOn w:val="DefaultParagraphFont"/>
    <w:uiPriority w:val="99"/>
    <w:qFormat/>
    <w:rsid w:val="00072C22"/>
    <w:rPr>
      <w:rFonts w:cs="Times New Roman"/>
      <w:b/>
      <w:bCs/>
    </w:rPr>
  </w:style>
  <w:style w:type="character" w:styleId="Emphasis">
    <w:name w:val="Emphasis"/>
    <w:basedOn w:val="DefaultParagraphFont"/>
    <w:uiPriority w:val="99"/>
    <w:qFormat/>
    <w:rsid w:val="00072C22"/>
    <w:rPr>
      <w:rFonts w:cs="Times New Roman"/>
      <w:i/>
      <w:iCs/>
    </w:rPr>
  </w:style>
  <w:style w:type="paragraph" w:styleId="BodyTextIndent3">
    <w:name w:val="Body Text Indent 3"/>
    <w:basedOn w:val="Normal"/>
    <w:link w:val="BodyTextIndent3Char"/>
    <w:uiPriority w:val="99"/>
    <w:rsid w:val="00072C22"/>
    <w:pPr>
      <w:spacing w:after="120"/>
      <w:ind w:left="360"/>
    </w:pPr>
    <w:rPr>
      <w:rFonts w:eastAsia="ＭＳ 明朝" w:cs="Times New Roman"/>
      <w:sz w:val="16"/>
      <w:szCs w:val="16"/>
    </w:rPr>
  </w:style>
  <w:style w:type="character" w:customStyle="1" w:styleId="BodyTextIndent3Char">
    <w:name w:val="Body Text Indent 3 Char"/>
    <w:basedOn w:val="DefaultParagraphFont"/>
    <w:link w:val="BodyTextIndent3"/>
    <w:uiPriority w:val="99"/>
    <w:rsid w:val="00072C22"/>
    <w:rPr>
      <w:rFonts w:ascii="Times New Roman" w:eastAsia="ＭＳ 明朝" w:hAnsi="Times New Roman" w:cs="Times New Roman"/>
      <w:sz w:val="16"/>
      <w:szCs w:val="16"/>
    </w:rPr>
  </w:style>
  <w:style w:type="character" w:styleId="PageNumber">
    <w:name w:val="page number"/>
    <w:basedOn w:val="DefaultParagraphFont"/>
    <w:uiPriority w:val="99"/>
    <w:semiHidden/>
    <w:unhideWhenUsed/>
    <w:rsid w:val="00CB0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nctm.org/about/content.aspx?id=852" TargetMode="Externa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1653</Words>
  <Characters>9425</Characters>
  <Application>Microsoft Macintosh Word</Application>
  <DocSecurity>0</DocSecurity>
  <Lines>78</Lines>
  <Paragraphs>22</Paragraphs>
  <ScaleCrop>false</ScaleCrop>
  <Company>UT Dana Center</Company>
  <LinksUpToDate>false</LinksUpToDate>
  <CharactersWithSpaces>11056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Cathy Seeley</dc:creator>
  <cp:keywords/>
  <dc:description/>
  <cp:lastModifiedBy>Cathy Seeley</cp:lastModifiedBy>
  <cp:revision>3</cp:revision>
  <dcterms:created xsi:type="dcterms:W3CDTF">2011-04-11T05:46:00Z</dcterms:created>
  <dcterms:modified xsi:type="dcterms:W3CDTF">2011-04-11T05:57:00Z</dcterms:modified>
</cp:coreProperties>
</file>